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numPr>
          <w:ilvl w:val="0"/>
          <w:numId w:val="0"/>
        </w:numPr>
        <w:kinsoku/>
        <w:wordWrap/>
        <w:overflowPunct/>
        <w:topLinePunct w:val="0"/>
        <w:autoSpaceDE/>
        <w:autoSpaceDN/>
        <w:bidi w:val="0"/>
        <w:adjustRightInd/>
        <w:snapToGrid/>
        <w:spacing w:before="0" w:beforeLines="0" w:after="0" w:afterLines="0" w:line="240" w:lineRule="auto"/>
        <w:ind w:right="0" w:rightChars="0" w:firstLine="0" w:firstLineChars="0"/>
        <w:jc w:val="both"/>
        <w:textAlignment w:val="auto"/>
        <w:rPr>
          <w:rFonts w:hint="eastAsia" w:ascii="仿宋_GB2312" w:hAnsi="仿宋_GB2312" w:eastAsia="仿宋_GB2312" w:cs="仿宋_GB2312"/>
          <w:b/>
          <w:bCs/>
          <w:kern w:val="2"/>
          <w:sz w:val="40"/>
          <w:szCs w:val="40"/>
          <w:u w:val="none"/>
          <w:lang w:val="en-US" w:eastAsia="zh-CN" w:bidi="ar-SA"/>
        </w:rPr>
      </w:pPr>
    </w:p>
    <w:p>
      <w:pPr>
        <w:rPr>
          <w:rFonts w:hint="eastAsia"/>
          <w:u w:val="single"/>
          <w:lang w:val="en-US" w:eastAsia="zh-CN"/>
        </w:rPr>
      </w:pPr>
    </w:p>
    <w:p>
      <w:pPr>
        <w:numPr>
          <w:ilvl w:val="0"/>
          <w:numId w:val="0"/>
        </w:numPr>
        <w:jc w:val="center"/>
        <w:rPr>
          <w:rFonts w:hint="default"/>
          <w:sz w:val="40"/>
          <w:szCs w:val="40"/>
          <w:lang w:val="en-US" w:eastAsia="zh-CN"/>
        </w:rPr>
      </w:pPr>
      <w:r>
        <w:rPr>
          <w:rFonts w:hint="eastAsia" w:ascii="仿宋_GB2312" w:hAnsi="仿宋_GB2312" w:eastAsia="仿宋_GB2312" w:cs="仿宋_GB2312"/>
          <w:b/>
          <w:bCs/>
          <w:sz w:val="32"/>
          <w:szCs w:val="32"/>
          <w:u w:val="single"/>
          <w:lang w:val="en-US" w:eastAsia="zh-CN"/>
        </w:rPr>
        <w:t xml:space="preserve"> 关于申请采购2023-2024年度智汇物业公司零星维修材料项目</w:t>
      </w:r>
      <w:r>
        <w:rPr>
          <w:rFonts w:hint="eastAsia" w:ascii="仿宋_GB2312" w:hAnsi="仿宋_GB2312" w:eastAsia="仿宋_GB2312" w:cs="仿宋_GB2312"/>
          <w:b/>
          <w:bCs/>
          <w:sz w:val="32"/>
          <w:szCs w:val="32"/>
          <w:u w:val="none"/>
          <w:lang w:val="en-US" w:eastAsia="zh-CN"/>
        </w:rPr>
        <w:t>比质比价公告</w:t>
      </w:r>
    </w:p>
    <w:p>
      <w:pPr>
        <w:pageBreakBefore w:val="0"/>
        <w:numPr>
          <w:ilvl w:val="0"/>
          <w:numId w:val="0"/>
        </w:numPr>
        <w:kinsoku/>
        <w:wordWrap/>
        <w:overflowPunct/>
        <w:topLinePunct w:val="0"/>
        <w:bidi w:val="0"/>
        <w:snapToGrid/>
        <w:spacing w:line="360" w:lineRule="auto"/>
        <w:ind w:right="0"/>
        <w:jc w:val="both"/>
        <w:textAlignment w:val="auto"/>
        <w:rPr>
          <w:rFonts w:hint="eastAsia"/>
          <w:sz w:val="30"/>
          <w:szCs w:val="30"/>
          <w:lang w:val="en-US" w:eastAsia="zh-CN"/>
        </w:rPr>
      </w:pPr>
      <w:r>
        <w:rPr>
          <w:rFonts w:hint="eastAsia"/>
          <w:sz w:val="30"/>
          <w:szCs w:val="30"/>
          <w:lang w:val="en-US" w:eastAsia="zh-CN"/>
        </w:rPr>
        <w:t xml:space="preserve"> </w:t>
      </w:r>
    </w:p>
    <w:p>
      <w:pPr>
        <w:keepNext w:val="0"/>
        <w:keepLines w:val="0"/>
        <w:pageBreakBefore w:val="0"/>
        <w:widowControl w:val="0"/>
        <w:numPr>
          <w:ilvl w:val="0"/>
          <w:numId w:val="0"/>
        </w:numPr>
        <w:kinsoku/>
        <w:wordWrap/>
        <w:overflowPunct/>
        <w:topLinePunct w:val="0"/>
        <w:bidi w:val="0"/>
        <w:snapToGrid/>
        <w:spacing w:line="360" w:lineRule="auto"/>
        <w:ind w:left="0" w:leftChars="0" w:right="0" w:rightChars="0"/>
        <w:jc w:val="both"/>
        <w:textAlignment w:val="auto"/>
        <w:rPr>
          <w:rFonts w:hint="eastAsia" w:ascii="仿宋" w:hAnsi="仿宋" w:eastAsia="仿宋" w:cs="仿宋"/>
          <w:b/>
          <w:bCs/>
          <w:sz w:val="30"/>
          <w:szCs w:val="30"/>
          <w:u w:val="none"/>
          <w:lang w:val="en-US" w:eastAsia="zh-CN"/>
        </w:rPr>
      </w:pPr>
      <w:r>
        <w:rPr>
          <w:rFonts w:hint="eastAsia" w:ascii="仿宋" w:hAnsi="仿宋" w:eastAsia="仿宋" w:cs="仿宋"/>
          <w:b/>
          <w:bCs/>
          <w:sz w:val="30"/>
          <w:szCs w:val="30"/>
          <w:u w:val="none"/>
          <w:lang w:val="en-US" w:eastAsia="zh-CN"/>
        </w:rPr>
        <w:t>一、采购条件</w:t>
      </w:r>
    </w:p>
    <w:p>
      <w:pPr>
        <w:keepNext w:val="0"/>
        <w:keepLines w:val="0"/>
        <w:pageBreakBefore w:val="0"/>
        <w:widowControl w:val="0"/>
        <w:numPr>
          <w:ilvl w:val="0"/>
          <w:numId w:val="0"/>
        </w:numPr>
        <w:kinsoku/>
        <w:wordWrap/>
        <w:overflowPunct/>
        <w:topLinePunct w:val="0"/>
        <w:bidi w:val="0"/>
        <w:snapToGrid/>
        <w:spacing w:line="360" w:lineRule="auto"/>
        <w:ind w:left="0" w:leftChars="0" w:right="0" w:rightChars="0" w:firstLine="600" w:firstLineChars="200"/>
        <w:jc w:val="both"/>
        <w:textAlignment w:val="auto"/>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本项目</w:t>
      </w:r>
      <w:r>
        <w:rPr>
          <w:rFonts w:hint="eastAsia" w:ascii="仿宋_GB2312" w:hAnsi="仿宋_GB2312" w:eastAsia="仿宋_GB2312" w:cs="仿宋_GB2312"/>
          <w:b/>
          <w:bCs/>
          <w:sz w:val="32"/>
          <w:szCs w:val="32"/>
          <w:u w:val="single"/>
          <w:lang w:val="en-US" w:eastAsia="zh-CN"/>
        </w:rPr>
        <w:t>关于申请采购2023-2024年度物业公司零星维修材料项目</w:t>
      </w:r>
      <w:r>
        <w:rPr>
          <w:rFonts w:hint="eastAsia" w:ascii="仿宋" w:hAnsi="仿宋" w:eastAsia="仿宋" w:cs="仿宋"/>
          <w:sz w:val="30"/>
          <w:szCs w:val="30"/>
          <w:u w:val="none"/>
          <w:lang w:val="en-US" w:eastAsia="zh-CN"/>
        </w:rPr>
        <w:t>（项目名称）的采购人为</w:t>
      </w:r>
      <w:r>
        <w:rPr>
          <w:rFonts w:hint="eastAsia" w:ascii="仿宋_GB2312" w:hAnsi="仿宋_GB2312" w:eastAsia="仿宋_GB2312" w:cs="仿宋_GB2312"/>
          <w:b/>
          <w:bCs/>
          <w:color w:val="auto"/>
          <w:kern w:val="2"/>
          <w:sz w:val="32"/>
          <w:szCs w:val="32"/>
          <w:u w:val="single"/>
          <w:lang w:val="en-US" w:eastAsia="zh-CN" w:bidi="ar-SA"/>
        </w:rPr>
        <w:t>长治市长高智汇物业管理有限公司</w:t>
      </w:r>
      <w:r>
        <w:rPr>
          <w:rFonts w:hint="eastAsia" w:ascii="仿宋" w:hAnsi="仿宋" w:eastAsia="仿宋" w:cs="仿宋"/>
          <w:sz w:val="30"/>
          <w:szCs w:val="30"/>
          <w:u w:val="none"/>
          <w:lang w:val="en-US" w:eastAsia="zh-CN"/>
        </w:rPr>
        <w:t>，已具备采购条件，现进行比质比价采购。</w:t>
      </w:r>
    </w:p>
    <w:p>
      <w:pPr>
        <w:pStyle w:val="16"/>
        <w:keepNext w:val="0"/>
        <w:keepLines w:val="0"/>
        <w:pageBreakBefore w:val="0"/>
        <w:widowControl w:val="0"/>
        <w:numPr>
          <w:ilvl w:val="0"/>
          <w:numId w:val="1"/>
        </w:numPr>
        <w:kinsoku/>
        <w:wordWrap/>
        <w:overflowPunct/>
        <w:topLinePunct w:val="0"/>
        <w:bidi w:val="0"/>
        <w:snapToGrid/>
        <w:spacing w:line="360" w:lineRule="auto"/>
        <w:ind w:left="0" w:leftChars="0"/>
        <w:textAlignment w:val="auto"/>
        <w:rPr>
          <w:rFonts w:hint="eastAsia" w:ascii="仿宋" w:hAnsi="仿宋" w:eastAsia="仿宋" w:cs="仿宋"/>
          <w:b/>
          <w:bCs/>
          <w:sz w:val="30"/>
          <w:szCs w:val="30"/>
          <w:u w:val="none"/>
          <w:lang w:val="en-US" w:eastAsia="zh-CN"/>
        </w:rPr>
      </w:pPr>
      <w:r>
        <w:rPr>
          <w:rFonts w:hint="eastAsia" w:ascii="仿宋" w:hAnsi="仿宋" w:eastAsia="仿宋" w:cs="仿宋"/>
          <w:b/>
          <w:bCs/>
          <w:sz w:val="30"/>
          <w:szCs w:val="30"/>
          <w:u w:val="none"/>
          <w:lang w:val="en-US" w:eastAsia="zh-CN"/>
        </w:rPr>
        <w:t>项目概况、采购范围及要求</w:t>
      </w:r>
    </w:p>
    <w:p>
      <w:pPr>
        <w:pStyle w:val="2"/>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u w:val="none"/>
          <w:lang w:val="en-US" w:eastAsia="zh-CN"/>
        </w:rPr>
      </w:pPr>
      <w:r>
        <w:rPr>
          <w:rFonts w:hint="eastAsia"/>
          <w:u w:val="none"/>
          <w:lang w:val="en-US" w:eastAsia="zh-CN"/>
        </w:rPr>
        <w:t>（一）项目概况</w:t>
      </w:r>
    </w:p>
    <w:p>
      <w:pPr>
        <w:pStyle w:val="2"/>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u w:val="single"/>
          <w:lang w:val="en-US" w:eastAsia="zh-CN"/>
        </w:rPr>
      </w:pPr>
      <w:r>
        <w:rPr>
          <w:rFonts w:hint="eastAsia"/>
          <w:u w:val="single"/>
          <w:lang w:val="en-US" w:eastAsia="zh-CN"/>
        </w:rPr>
        <w:t>1.本项目采购内容需为长治市长高智汇物业管理有限公司提供办零星维修材料等物品。根据标的参考目录，</w:t>
      </w:r>
      <w:r>
        <w:rPr>
          <w:rFonts w:hint="eastAsia"/>
          <w:b/>
          <w:bCs/>
          <w:u w:val="single"/>
          <w:lang w:val="en-US" w:eastAsia="zh-CN"/>
        </w:rPr>
        <w:t>所有标的必须按照统一折扣进行报价，</w:t>
      </w:r>
      <w:r>
        <w:rPr>
          <w:rFonts w:hint="eastAsia"/>
          <w:u w:val="single"/>
          <w:lang w:val="en-US" w:eastAsia="zh-CN"/>
        </w:rPr>
        <w:t>本次报价为全年固定报价。每次根据采购人实际需求配送，全年不计批次按月度实际使用量进行结算。如遇紧急事务，须按规定时间配送到位并提供现场技术服务。</w:t>
      </w:r>
    </w:p>
    <w:p>
      <w:pPr>
        <w:pStyle w:val="2"/>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u w:val="none"/>
          <w:lang w:val="en-US" w:eastAsia="zh-CN"/>
        </w:rPr>
      </w:pPr>
      <w:r>
        <w:rPr>
          <w:rFonts w:hint="eastAsia"/>
          <w:u w:val="none"/>
          <w:lang w:val="en-US" w:eastAsia="zh-CN"/>
        </w:rPr>
        <w:t>（二）采购范围及要求</w:t>
      </w:r>
    </w:p>
    <w:p>
      <w:pPr>
        <w:pStyle w:val="2"/>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u w:val="single"/>
          <w:lang w:val="en-US" w:eastAsia="zh-CN"/>
        </w:rPr>
      </w:pPr>
      <w:r>
        <w:rPr>
          <w:rFonts w:hint="eastAsia"/>
          <w:u w:val="single"/>
          <w:lang w:val="en-US" w:eastAsia="zh-CN"/>
        </w:rPr>
        <w:t>1.请详见附件：零星维修材料参考目录。</w:t>
      </w:r>
      <w:r>
        <w:rPr>
          <w:rFonts w:hint="default"/>
          <w:u w:val="single"/>
          <w:lang w:val="en-US" w:eastAsia="zh-CN"/>
        </w:rPr>
        <w:t>在实际采购中可能会发生</w:t>
      </w:r>
      <w:r>
        <w:rPr>
          <w:rFonts w:hint="eastAsia"/>
          <w:u w:val="single"/>
          <w:lang w:val="en-US" w:eastAsia="zh-CN"/>
        </w:rPr>
        <w:t>招标</w:t>
      </w:r>
      <w:r>
        <w:rPr>
          <w:rFonts w:hint="default"/>
          <w:u w:val="single"/>
          <w:lang w:val="en-US" w:eastAsia="zh-CN"/>
        </w:rPr>
        <w:t>清单外物品采购的情况，</w:t>
      </w:r>
      <w:r>
        <w:rPr>
          <w:rFonts w:hint="eastAsia"/>
          <w:u w:val="single"/>
          <w:lang w:val="en-US" w:eastAsia="zh-CN"/>
        </w:rPr>
        <w:t>价格方面应按照不高于同期京东官方价格的基础上，选择质优价廉的设备。</w:t>
      </w:r>
    </w:p>
    <w:p>
      <w:pPr>
        <w:pStyle w:val="2"/>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u w:val="single"/>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u w:val="single"/>
          <w:lang w:val="en-US" w:eastAsia="zh-CN"/>
        </w:rPr>
      </w:pPr>
      <w:r>
        <w:rPr>
          <w:rFonts w:hint="eastAsia"/>
          <w:u w:val="single"/>
          <w:lang w:val="en-US" w:eastAsia="zh-CN"/>
        </w:rPr>
        <w:t>2.服务单位需根据采购人需求计划，采购人通过电话、QQ、微信等不同方式通知，一般情况下应保证在2小时内送货到采购人办公地点，紧急情况下随时保障到位。</w:t>
      </w:r>
    </w:p>
    <w:p>
      <w:pPr>
        <w:pStyle w:val="2"/>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u w:val="single"/>
          <w:lang w:val="en-US" w:eastAsia="zh-CN"/>
        </w:rPr>
      </w:pPr>
      <w:r>
        <w:rPr>
          <w:rFonts w:hint="eastAsia"/>
          <w:u w:val="single"/>
          <w:lang w:val="en-US" w:eastAsia="zh-CN"/>
        </w:rPr>
        <w:t>3.所提供的维修材料必须保证质量，不得以次充好。</w:t>
      </w:r>
    </w:p>
    <w:p>
      <w:pPr>
        <w:pStyle w:val="16"/>
        <w:keepNext w:val="0"/>
        <w:keepLines w:val="0"/>
        <w:pageBreakBefore w:val="0"/>
        <w:widowControl w:val="0"/>
        <w:kinsoku/>
        <w:wordWrap/>
        <w:overflowPunct/>
        <w:topLinePunct w:val="0"/>
        <w:bidi w:val="0"/>
        <w:snapToGrid/>
        <w:spacing w:line="360" w:lineRule="auto"/>
        <w:ind w:left="0" w:leftChars="0"/>
        <w:textAlignment w:val="auto"/>
        <w:rPr>
          <w:rFonts w:hint="eastAsia" w:ascii="仿宋" w:hAnsi="仿宋" w:eastAsia="仿宋" w:cs="仿宋"/>
          <w:b/>
          <w:bCs/>
          <w:sz w:val="30"/>
          <w:szCs w:val="30"/>
          <w:u w:val="none"/>
          <w:lang w:val="en-US" w:eastAsia="zh-CN"/>
        </w:rPr>
      </w:pPr>
      <w:r>
        <w:rPr>
          <w:rFonts w:hint="eastAsia" w:ascii="仿宋" w:hAnsi="仿宋" w:eastAsia="仿宋" w:cs="仿宋"/>
          <w:b/>
          <w:bCs/>
          <w:sz w:val="30"/>
          <w:szCs w:val="30"/>
          <w:u w:val="none"/>
          <w:lang w:val="en-US" w:eastAsia="zh-CN"/>
        </w:rPr>
        <w:t>三、参选供应商资格要求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firstLine="600" w:firstLineChars="200"/>
        <w:jc w:val="both"/>
        <w:textAlignment w:val="auto"/>
        <w:rPr>
          <w:rFonts w:hint="eastAsia" w:ascii="仿宋" w:hAnsi="仿宋" w:eastAsia="仿宋" w:cs="仿宋"/>
          <w:b w:val="0"/>
          <w:bCs w:val="0"/>
          <w:sz w:val="30"/>
          <w:szCs w:val="30"/>
          <w:u w:val="none"/>
          <w:lang w:val="en-US" w:eastAsia="zh-CN"/>
        </w:rPr>
      </w:pPr>
      <w:r>
        <w:rPr>
          <w:rFonts w:hint="eastAsia" w:ascii="仿宋" w:hAnsi="仿宋" w:eastAsia="仿宋" w:cs="仿宋"/>
          <w:b w:val="0"/>
          <w:bCs w:val="0"/>
          <w:sz w:val="30"/>
          <w:szCs w:val="30"/>
          <w:u w:val="none"/>
          <w:lang w:val="en-US" w:eastAsia="zh-CN"/>
        </w:rPr>
        <w:t>1、参选供应商须为在中华人民共和国境内依法注册并具有独立承担民事责任能力的企业法人。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firstLine="600" w:firstLineChars="200"/>
        <w:jc w:val="both"/>
        <w:textAlignment w:val="auto"/>
        <w:rPr>
          <w:rFonts w:hint="eastAsia" w:ascii="仿宋" w:hAnsi="仿宋" w:eastAsia="仿宋" w:cs="仿宋"/>
          <w:b w:val="0"/>
          <w:bCs w:val="0"/>
          <w:sz w:val="30"/>
          <w:szCs w:val="30"/>
          <w:u w:val="none"/>
          <w:lang w:val="en-US" w:eastAsia="zh-CN"/>
        </w:rPr>
      </w:pPr>
      <w:r>
        <w:rPr>
          <w:rFonts w:hint="eastAsia" w:ascii="仿宋" w:hAnsi="仿宋" w:eastAsia="仿宋" w:cs="仿宋"/>
          <w:b w:val="0"/>
          <w:bCs w:val="0"/>
          <w:sz w:val="30"/>
          <w:szCs w:val="30"/>
          <w:u w:val="none"/>
          <w:lang w:val="en-US" w:eastAsia="zh-CN"/>
        </w:rPr>
        <w:t>2、参选供应商须具备增值税一般纳税人资格或小规模纳税人资格，能够开具增值税专用发票。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firstLine="600" w:firstLineChars="200"/>
        <w:jc w:val="left"/>
        <w:textAlignment w:val="auto"/>
        <w:rPr>
          <w:rFonts w:hint="eastAsia" w:ascii="仿宋" w:hAnsi="仿宋" w:eastAsia="仿宋" w:cs="仿宋"/>
          <w:b w:val="0"/>
          <w:bCs w:val="0"/>
          <w:sz w:val="30"/>
          <w:szCs w:val="30"/>
          <w:u w:val="none"/>
          <w:lang w:val="en-US" w:eastAsia="zh-CN"/>
        </w:rPr>
      </w:pPr>
      <w:r>
        <w:rPr>
          <w:rFonts w:hint="eastAsia" w:ascii="仿宋" w:hAnsi="仿宋" w:eastAsia="仿宋" w:cs="仿宋"/>
          <w:b w:val="0"/>
          <w:bCs w:val="0"/>
          <w:sz w:val="30"/>
          <w:szCs w:val="30"/>
          <w:u w:val="none"/>
          <w:lang w:val="en-US" w:eastAsia="zh-CN"/>
        </w:rPr>
        <w:t>3、参选供应商于递交相应文件截止日前未被最高人民法院在 “信用中国”网站（www.creditchina.gov.cn）中列入失信被执行人名单。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firstLine="600" w:firstLineChars="200"/>
        <w:jc w:val="left"/>
        <w:textAlignment w:val="auto"/>
        <w:rPr>
          <w:rFonts w:hint="eastAsia" w:ascii="仿宋" w:hAnsi="仿宋" w:eastAsia="仿宋" w:cs="仿宋"/>
          <w:b w:val="0"/>
          <w:bCs w:val="0"/>
          <w:sz w:val="30"/>
          <w:szCs w:val="30"/>
          <w:u w:val="none"/>
          <w:lang w:val="en-US" w:eastAsia="zh-CN"/>
        </w:rPr>
      </w:pPr>
      <w:r>
        <w:rPr>
          <w:rFonts w:hint="eastAsia" w:ascii="仿宋" w:hAnsi="仿宋" w:eastAsia="仿宋" w:cs="仿宋"/>
          <w:b w:val="0"/>
          <w:bCs w:val="0"/>
          <w:sz w:val="30"/>
          <w:szCs w:val="30"/>
          <w:u w:val="none"/>
          <w:lang w:val="en-US" w:eastAsia="zh-CN"/>
        </w:rPr>
        <w:t>4、本项目不接受联合体参加且成交后不得转包、分包。</w:t>
      </w:r>
    </w:p>
    <w:p>
      <w:pPr>
        <w:pStyle w:val="2"/>
        <w:ind w:firstLine="600" w:firstLineChars="200"/>
        <w:rPr>
          <w:rFonts w:hint="default"/>
          <w:lang w:val="en-US" w:eastAsia="zh-CN"/>
        </w:rPr>
      </w:pPr>
      <w:r>
        <w:rPr>
          <w:rFonts w:hint="eastAsia" w:cs="仿宋"/>
          <w:b w:val="0"/>
          <w:bCs w:val="0"/>
          <w:sz w:val="30"/>
          <w:szCs w:val="30"/>
          <w:u w:val="none"/>
          <w:lang w:val="en-US" w:eastAsia="zh-CN"/>
        </w:rPr>
        <w:t>5、</w:t>
      </w:r>
      <w:r>
        <w:rPr>
          <w:rFonts w:hint="eastAsia" w:ascii="仿宋" w:hAnsi="仿宋" w:eastAsia="仿宋" w:cs="仿宋"/>
          <w:b w:val="0"/>
          <w:bCs w:val="0"/>
          <w:kern w:val="2"/>
          <w:sz w:val="30"/>
          <w:szCs w:val="30"/>
          <w:u w:val="none"/>
          <w:lang w:val="en-US" w:eastAsia="zh-CN" w:bidi="ar-SA"/>
        </w:rPr>
        <w:t>参选方须在</w:t>
      </w:r>
      <w:r>
        <w:rPr>
          <w:rFonts w:hint="eastAsia" w:cs="仿宋"/>
          <w:b w:val="0"/>
          <w:bCs w:val="0"/>
          <w:kern w:val="2"/>
          <w:sz w:val="30"/>
          <w:szCs w:val="30"/>
          <w:u w:val="none"/>
          <w:lang w:val="en-US" w:eastAsia="zh-CN" w:bidi="ar-SA"/>
        </w:rPr>
        <w:t>长治市</w:t>
      </w:r>
      <w:r>
        <w:rPr>
          <w:rFonts w:hint="eastAsia" w:ascii="仿宋" w:hAnsi="仿宋" w:eastAsia="仿宋" w:cs="仿宋"/>
          <w:b w:val="0"/>
          <w:bCs w:val="0"/>
          <w:kern w:val="2"/>
          <w:sz w:val="30"/>
          <w:szCs w:val="30"/>
          <w:u w:val="none"/>
          <w:lang w:val="en-US" w:eastAsia="zh-CN" w:bidi="ar-SA"/>
        </w:rPr>
        <w:t>区以内</w:t>
      </w:r>
      <w:r>
        <w:rPr>
          <w:rFonts w:hint="eastAsia" w:cs="仿宋"/>
          <w:b w:val="0"/>
          <w:bCs w:val="0"/>
          <w:kern w:val="2"/>
          <w:sz w:val="30"/>
          <w:szCs w:val="30"/>
          <w:u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jc w:val="left"/>
        <w:textAlignment w:val="auto"/>
        <w:rPr>
          <w:rFonts w:hint="default" w:ascii="仿宋" w:hAnsi="仿宋" w:eastAsia="仿宋" w:cs="仿宋"/>
          <w:b/>
          <w:bCs/>
          <w:sz w:val="30"/>
          <w:szCs w:val="30"/>
          <w:u w:val="none"/>
          <w:lang w:val="en-US" w:eastAsia="zh-CN"/>
        </w:rPr>
      </w:pPr>
      <w:r>
        <w:rPr>
          <w:rFonts w:hint="eastAsia" w:ascii="仿宋" w:hAnsi="仿宋" w:eastAsia="仿宋" w:cs="仿宋"/>
          <w:b/>
          <w:bCs/>
          <w:sz w:val="30"/>
          <w:szCs w:val="30"/>
          <w:u w:val="none"/>
          <w:lang w:val="en-US" w:eastAsia="zh-CN"/>
        </w:rPr>
        <w:t>四、获取比质比价文件的时间、地点及方式</w:t>
      </w:r>
    </w:p>
    <w:p>
      <w:pPr>
        <w:pStyle w:val="16"/>
        <w:keepNext w:val="0"/>
        <w:keepLines w:val="0"/>
        <w:pageBreakBefore w:val="0"/>
        <w:widowControl w:val="0"/>
        <w:kinsoku/>
        <w:wordWrap/>
        <w:overflowPunct/>
        <w:topLinePunct w:val="0"/>
        <w:bidi w:val="0"/>
        <w:snapToGrid/>
        <w:spacing w:line="360" w:lineRule="auto"/>
        <w:ind w:left="298" w:leftChars="142" w:firstLine="300" w:firstLineChars="100"/>
        <w:textAlignment w:val="auto"/>
        <w:rPr>
          <w:rFonts w:hint="default" w:ascii="仿宋" w:hAnsi="仿宋" w:eastAsia="仿宋" w:cs="仿宋"/>
          <w:b w:val="0"/>
          <w:bCs w:val="0"/>
          <w:color w:val="auto"/>
          <w:kern w:val="2"/>
          <w:sz w:val="30"/>
          <w:szCs w:val="30"/>
          <w:u w:val="none"/>
          <w:lang w:val="en-US" w:eastAsia="zh-CN" w:bidi="ar-SA"/>
        </w:rPr>
      </w:pPr>
      <w:r>
        <w:rPr>
          <w:rFonts w:hint="eastAsia" w:ascii="仿宋" w:hAnsi="仿宋" w:eastAsia="仿宋" w:cs="仿宋"/>
          <w:b w:val="0"/>
          <w:bCs w:val="0"/>
          <w:color w:val="auto"/>
          <w:kern w:val="2"/>
          <w:sz w:val="30"/>
          <w:szCs w:val="30"/>
          <w:u w:val="none"/>
          <w:lang w:val="en-US" w:eastAsia="zh-CN" w:bidi="ar-SA"/>
        </w:rPr>
        <w:t>1、时间：</w:t>
      </w:r>
      <w:r>
        <w:rPr>
          <w:rFonts w:hint="eastAsia" w:ascii="仿宋" w:hAnsi="仿宋" w:eastAsia="仿宋" w:cs="仿宋"/>
          <w:b w:val="0"/>
          <w:bCs w:val="0"/>
          <w:sz w:val="30"/>
          <w:szCs w:val="30"/>
          <w:u w:val="single"/>
          <w:lang w:val="en-US" w:eastAsia="zh-CN"/>
        </w:rPr>
        <w:t xml:space="preserve"> 2023 </w:t>
      </w:r>
      <w:r>
        <w:rPr>
          <w:rFonts w:hint="eastAsia" w:ascii="仿宋" w:hAnsi="仿宋" w:eastAsia="仿宋" w:cs="仿宋"/>
          <w:b w:val="0"/>
          <w:bCs w:val="0"/>
          <w:sz w:val="30"/>
          <w:szCs w:val="30"/>
          <w:u w:val="none"/>
          <w:lang w:val="en-US" w:eastAsia="zh-CN"/>
        </w:rPr>
        <w:t>年</w:t>
      </w:r>
      <w:r>
        <w:rPr>
          <w:rFonts w:hint="eastAsia" w:ascii="仿宋" w:hAnsi="仿宋" w:eastAsia="仿宋" w:cs="仿宋"/>
          <w:b w:val="0"/>
          <w:bCs w:val="0"/>
          <w:sz w:val="30"/>
          <w:szCs w:val="30"/>
          <w:u w:val="single"/>
          <w:lang w:val="en-US" w:eastAsia="zh-CN"/>
        </w:rPr>
        <w:t xml:space="preserve"> 12 </w:t>
      </w:r>
      <w:r>
        <w:rPr>
          <w:rFonts w:hint="eastAsia" w:ascii="仿宋" w:hAnsi="仿宋" w:eastAsia="仿宋" w:cs="仿宋"/>
          <w:b w:val="0"/>
          <w:bCs w:val="0"/>
          <w:sz w:val="30"/>
          <w:szCs w:val="30"/>
          <w:u w:val="none"/>
          <w:lang w:val="en-US" w:eastAsia="zh-CN"/>
        </w:rPr>
        <w:t>月</w:t>
      </w:r>
      <w:r>
        <w:rPr>
          <w:rFonts w:hint="eastAsia" w:ascii="仿宋" w:hAnsi="仿宋" w:eastAsia="仿宋" w:cs="仿宋"/>
          <w:b w:val="0"/>
          <w:bCs w:val="0"/>
          <w:sz w:val="30"/>
          <w:szCs w:val="30"/>
          <w:u w:val="single"/>
          <w:lang w:val="en-US" w:eastAsia="zh-CN"/>
        </w:rPr>
        <w:t xml:space="preserve"> 12 </w:t>
      </w:r>
      <w:r>
        <w:rPr>
          <w:rFonts w:hint="eastAsia" w:ascii="仿宋" w:hAnsi="仿宋" w:eastAsia="仿宋" w:cs="仿宋"/>
          <w:b w:val="0"/>
          <w:bCs w:val="0"/>
          <w:sz w:val="30"/>
          <w:szCs w:val="30"/>
          <w:u w:val="none"/>
          <w:lang w:val="en-US" w:eastAsia="zh-CN"/>
        </w:rPr>
        <w:t>日09:00分至</w:t>
      </w:r>
      <w:r>
        <w:rPr>
          <w:rFonts w:hint="eastAsia" w:ascii="仿宋" w:hAnsi="仿宋" w:eastAsia="仿宋" w:cs="仿宋"/>
          <w:b w:val="0"/>
          <w:bCs w:val="0"/>
          <w:sz w:val="30"/>
          <w:szCs w:val="30"/>
          <w:u w:val="single"/>
          <w:lang w:val="en-US" w:eastAsia="zh-CN"/>
        </w:rPr>
        <w:t xml:space="preserve"> 2023 </w:t>
      </w:r>
      <w:r>
        <w:rPr>
          <w:rFonts w:hint="eastAsia" w:ascii="仿宋" w:hAnsi="仿宋" w:eastAsia="仿宋" w:cs="仿宋"/>
          <w:b w:val="0"/>
          <w:bCs w:val="0"/>
          <w:sz w:val="30"/>
          <w:szCs w:val="30"/>
          <w:u w:val="none"/>
          <w:lang w:val="en-US" w:eastAsia="zh-CN"/>
        </w:rPr>
        <w:t>年</w:t>
      </w:r>
      <w:r>
        <w:rPr>
          <w:rFonts w:hint="eastAsia" w:ascii="仿宋" w:hAnsi="仿宋" w:eastAsia="仿宋" w:cs="仿宋"/>
          <w:b w:val="0"/>
          <w:bCs w:val="0"/>
          <w:sz w:val="30"/>
          <w:szCs w:val="30"/>
          <w:u w:val="single"/>
          <w:lang w:val="en-US" w:eastAsia="zh-CN"/>
        </w:rPr>
        <w:t xml:space="preserve"> 12 </w:t>
      </w:r>
      <w:r>
        <w:rPr>
          <w:rFonts w:hint="eastAsia" w:ascii="仿宋" w:hAnsi="仿宋" w:eastAsia="仿宋" w:cs="仿宋"/>
          <w:b w:val="0"/>
          <w:bCs w:val="0"/>
          <w:sz w:val="30"/>
          <w:szCs w:val="30"/>
          <w:u w:val="none"/>
          <w:lang w:val="en-US" w:eastAsia="zh-CN"/>
        </w:rPr>
        <w:t>月</w:t>
      </w:r>
      <w:r>
        <w:rPr>
          <w:rFonts w:hint="eastAsia" w:ascii="仿宋" w:hAnsi="仿宋" w:eastAsia="仿宋" w:cs="仿宋"/>
          <w:b w:val="0"/>
          <w:bCs w:val="0"/>
          <w:sz w:val="30"/>
          <w:szCs w:val="30"/>
          <w:u w:val="single"/>
          <w:lang w:val="en-US" w:eastAsia="zh-CN"/>
        </w:rPr>
        <w:t xml:space="preserve">15 </w:t>
      </w:r>
      <w:r>
        <w:rPr>
          <w:rFonts w:hint="eastAsia" w:ascii="仿宋" w:hAnsi="仿宋" w:eastAsia="仿宋" w:cs="仿宋"/>
          <w:b w:val="0"/>
          <w:bCs w:val="0"/>
          <w:sz w:val="30"/>
          <w:szCs w:val="30"/>
          <w:u w:val="none"/>
          <w:lang w:val="en-US" w:eastAsia="zh-CN"/>
        </w:rPr>
        <w:t>日0</w:t>
      </w:r>
      <w:bookmarkStart w:id="2" w:name="_GoBack"/>
      <w:bookmarkEnd w:id="2"/>
      <w:r>
        <w:rPr>
          <w:rFonts w:hint="eastAsia" w:ascii="仿宋" w:hAnsi="仿宋" w:eastAsia="仿宋" w:cs="仿宋"/>
          <w:b w:val="0"/>
          <w:bCs w:val="0"/>
          <w:sz w:val="30"/>
          <w:szCs w:val="30"/>
          <w:u w:val="none"/>
          <w:lang w:val="en-US" w:eastAsia="zh-CN"/>
        </w:rPr>
        <w:t>9:00分（北京时间）；</w:t>
      </w:r>
    </w:p>
    <w:p>
      <w:pPr>
        <w:pStyle w:val="16"/>
        <w:keepNext w:val="0"/>
        <w:keepLines w:val="0"/>
        <w:pageBreakBefore w:val="0"/>
        <w:widowControl w:val="0"/>
        <w:kinsoku/>
        <w:wordWrap/>
        <w:overflowPunct/>
        <w:topLinePunct w:val="0"/>
        <w:bidi w:val="0"/>
        <w:snapToGrid/>
        <w:spacing w:line="360" w:lineRule="auto"/>
        <w:ind w:left="0" w:leftChars="0" w:firstLine="600" w:firstLineChars="200"/>
        <w:textAlignment w:val="auto"/>
        <w:rPr>
          <w:rFonts w:hint="eastAsia" w:ascii="仿宋" w:hAnsi="仿宋" w:eastAsia="仿宋" w:cs="仿宋"/>
          <w:b w:val="0"/>
          <w:bCs w:val="0"/>
          <w:sz w:val="30"/>
          <w:szCs w:val="30"/>
          <w:u w:val="none"/>
          <w:lang w:val="en-US" w:eastAsia="zh-CN"/>
        </w:rPr>
      </w:pPr>
      <w:r>
        <w:rPr>
          <w:rFonts w:hint="eastAsia" w:ascii="仿宋" w:hAnsi="仿宋" w:eastAsia="仿宋" w:cs="仿宋"/>
          <w:b w:val="0"/>
          <w:bCs w:val="0"/>
          <w:color w:val="auto"/>
          <w:kern w:val="2"/>
          <w:sz w:val="30"/>
          <w:szCs w:val="30"/>
          <w:u w:val="none"/>
          <w:lang w:val="en-US" w:eastAsia="zh-CN" w:bidi="ar-SA"/>
        </w:rPr>
        <w:t>2、地点：</w:t>
      </w:r>
      <w:r>
        <w:rPr>
          <w:rFonts w:hint="eastAsia" w:ascii="仿宋" w:hAnsi="仿宋" w:eastAsia="仿宋" w:cs="仿宋"/>
          <w:b w:val="0"/>
          <w:bCs w:val="0"/>
          <w:sz w:val="30"/>
          <w:szCs w:val="30"/>
          <w:u w:val="single"/>
          <w:lang w:val="en-US" w:eastAsia="zh-CN"/>
        </w:rPr>
        <w:t xml:space="preserve">       www.sxcgzh.com            </w:t>
      </w:r>
      <w:r>
        <w:rPr>
          <w:rFonts w:hint="eastAsia" w:ascii="仿宋" w:hAnsi="仿宋" w:eastAsia="仿宋" w:cs="仿宋"/>
          <w:b w:val="0"/>
          <w:bCs w:val="0"/>
          <w:sz w:val="30"/>
          <w:szCs w:val="30"/>
          <w:u w:val="none"/>
          <w:lang w:val="en-US" w:eastAsia="zh-CN"/>
        </w:rPr>
        <w:t>（网址）。</w:t>
      </w:r>
    </w:p>
    <w:p>
      <w:pPr>
        <w:pStyle w:val="16"/>
        <w:keepNext w:val="0"/>
        <w:keepLines w:val="0"/>
        <w:pageBreakBefore w:val="0"/>
        <w:widowControl w:val="0"/>
        <w:kinsoku/>
        <w:wordWrap/>
        <w:overflowPunct/>
        <w:topLinePunct w:val="0"/>
        <w:bidi w:val="0"/>
        <w:snapToGrid/>
        <w:spacing w:line="360" w:lineRule="auto"/>
        <w:ind w:left="0" w:leftChars="0" w:firstLine="600" w:firstLineChars="200"/>
        <w:textAlignment w:val="auto"/>
        <w:rPr>
          <w:rFonts w:hint="eastAsia" w:ascii="仿宋" w:hAnsi="仿宋" w:eastAsia="仿宋" w:cs="仿宋"/>
          <w:b w:val="0"/>
          <w:bCs w:val="0"/>
          <w:color w:val="auto"/>
          <w:kern w:val="2"/>
          <w:sz w:val="30"/>
          <w:szCs w:val="30"/>
          <w:u w:val="none"/>
          <w:lang w:val="en-US" w:eastAsia="zh-CN" w:bidi="ar-SA"/>
        </w:rPr>
      </w:pPr>
      <w:r>
        <w:rPr>
          <w:rFonts w:hint="eastAsia" w:ascii="仿宋" w:hAnsi="仿宋" w:eastAsia="仿宋" w:cs="仿宋"/>
          <w:b w:val="0"/>
          <w:bCs w:val="0"/>
          <w:color w:val="auto"/>
          <w:kern w:val="2"/>
          <w:sz w:val="30"/>
          <w:szCs w:val="30"/>
          <w:u w:val="none"/>
          <w:lang w:val="en-US" w:eastAsia="zh-CN" w:bidi="ar-SA"/>
        </w:rPr>
        <w:t>3、方式：网上下载。</w:t>
      </w:r>
    </w:p>
    <w:p>
      <w:pPr>
        <w:pStyle w:val="16"/>
        <w:keepNext w:val="0"/>
        <w:keepLines w:val="0"/>
        <w:pageBreakBefore w:val="0"/>
        <w:widowControl w:val="0"/>
        <w:kinsoku/>
        <w:wordWrap/>
        <w:overflowPunct/>
        <w:topLinePunct w:val="0"/>
        <w:bidi w:val="0"/>
        <w:snapToGrid/>
        <w:spacing w:line="360" w:lineRule="auto"/>
        <w:ind w:left="0" w:leftChars="0"/>
        <w:textAlignment w:val="auto"/>
        <w:rPr>
          <w:rFonts w:hint="eastAsia" w:ascii="仿宋" w:hAnsi="仿宋" w:eastAsia="仿宋" w:cs="仿宋"/>
          <w:b/>
          <w:bCs/>
          <w:color w:val="auto"/>
          <w:kern w:val="2"/>
          <w:sz w:val="30"/>
          <w:szCs w:val="30"/>
          <w:u w:val="none"/>
          <w:lang w:val="en-US" w:eastAsia="zh-CN" w:bidi="ar-SA"/>
        </w:rPr>
      </w:pPr>
      <w:r>
        <w:rPr>
          <w:rFonts w:hint="eastAsia" w:ascii="仿宋" w:hAnsi="仿宋" w:eastAsia="仿宋" w:cs="仿宋"/>
          <w:b/>
          <w:bCs/>
          <w:color w:val="auto"/>
          <w:kern w:val="2"/>
          <w:sz w:val="30"/>
          <w:szCs w:val="30"/>
          <w:u w:val="none"/>
          <w:lang w:val="en-US" w:eastAsia="zh-CN" w:bidi="ar-SA"/>
        </w:rPr>
        <w:t>五、比质比价文件的递交</w:t>
      </w:r>
    </w:p>
    <w:p>
      <w:pPr>
        <w:keepNext w:val="0"/>
        <w:keepLines w:val="0"/>
        <w:pageBreakBefore w:val="0"/>
        <w:widowControl w:val="0"/>
        <w:kinsoku/>
        <w:wordWrap/>
        <w:overflowPunct/>
        <w:topLinePunct w:val="0"/>
        <w:bidi w:val="0"/>
        <w:snapToGrid/>
        <w:spacing w:line="360" w:lineRule="auto"/>
        <w:ind w:left="0" w:leftChars="0" w:right="0" w:firstLine="600" w:firstLineChars="200"/>
        <w:jc w:val="both"/>
        <w:textAlignment w:val="auto"/>
        <w:rPr>
          <w:rFonts w:hint="eastAsia" w:ascii="仿宋" w:hAnsi="仿宋" w:eastAsia="仿宋" w:cs="仿宋"/>
          <w:b w:val="0"/>
          <w:bCs w:val="0"/>
          <w:sz w:val="30"/>
          <w:szCs w:val="30"/>
          <w:u w:val="none"/>
          <w:lang w:val="en-US" w:eastAsia="zh-CN"/>
        </w:rPr>
      </w:pPr>
      <w:r>
        <w:rPr>
          <w:rFonts w:hint="eastAsia" w:ascii="仿宋" w:hAnsi="仿宋" w:eastAsia="仿宋" w:cs="仿宋"/>
          <w:b w:val="0"/>
          <w:bCs w:val="0"/>
          <w:sz w:val="30"/>
          <w:szCs w:val="30"/>
          <w:u w:val="none"/>
          <w:lang w:val="en-US" w:eastAsia="zh-CN"/>
        </w:rPr>
        <w:t>1、</w:t>
      </w:r>
      <w:r>
        <w:rPr>
          <w:rFonts w:hint="eastAsia" w:ascii="仿宋" w:hAnsi="仿宋" w:eastAsia="仿宋" w:cs="仿宋"/>
          <w:b w:val="0"/>
          <w:bCs w:val="0"/>
          <w:color w:val="auto"/>
          <w:kern w:val="2"/>
          <w:sz w:val="30"/>
          <w:szCs w:val="30"/>
          <w:u w:val="none"/>
          <w:lang w:val="en-US" w:eastAsia="zh-CN" w:bidi="ar-SA"/>
        </w:rPr>
        <w:t>截止</w:t>
      </w:r>
      <w:r>
        <w:rPr>
          <w:rFonts w:hint="eastAsia" w:ascii="仿宋" w:hAnsi="仿宋" w:eastAsia="仿宋" w:cs="仿宋"/>
          <w:b w:val="0"/>
          <w:bCs w:val="0"/>
          <w:sz w:val="30"/>
          <w:szCs w:val="30"/>
          <w:u w:val="none"/>
          <w:lang w:val="en-US" w:eastAsia="zh-CN"/>
        </w:rPr>
        <w:t>时间：</w:t>
      </w:r>
      <w:r>
        <w:rPr>
          <w:rFonts w:hint="eastAsia" w:ascii="仿宋" w:hAnsi="仿宋" w:eastAsia="仿宋" w:cs="仿宋"/>
          <w:b w:val="0"/>
          <w:bCs w:val="0"/>
          <w:sz w:val="30"/>
          <w:szCs w:val="30"/>
          <w:u w:val="single"/>
          <w:lang w:val="en-US" w:eastAsia="zh-CN"/>
        </w:rPr>
        <w:t xml:space="preserve"> 2023 </w:t>
      </w:r>
      <w:r>
        <w:rPr>
          <w:rFonts w:hint="eastAsia" w:ascii="仿宋" w:hAnsi="仿宋" w:eastAsia="仿宋" w:cs="仿宋"/>
          <w:b w:val="0"/>
          <w:bCs w:val="0"/>
          <w:sz w:val="30"/>
          <w:szCs w:val="30"/>
          <w:u w:val="none"/>
          <w:lang w:val="en-US" w:eastAsia="zh-CN"/>
        </w:rPr>
        <w:t>年</w:t>
      </w:r>
      <w:r>
        <w:rPr>
          <w:rFonts w:hint="eastAsia" w:ascii="仿宋" w:hAnsi="仿宋" w:eastAsia="仿宋" w:cs="仿宋"/>
          <w:b w:val="0"/>
          <w:bCs w:val="0"/>
          <w:sz w:val="30"/>
          <w:szCs w:val="30"/>
          <w:u w:val="single"/>
          <w:lang w:val="en-US" w:eastAsia="zh-CN"/>
        </w:rPr>
        <w:t xml:space="preserve">  12 </w:t>
      </w:r>
      <w:r>
        <w:rPr>
          <w:rFonts w:hint="eastAsia" w:ascii="仿宋" w:hAnsi="仿宋" w:eastAsia="仿宋" w:cs="仿宋"/>
          <w:b w:val="0"/>
          <w:bCs w:val="0"/>
          <w:sz w:val="30"/>
          <w:szCs w:val="30"/>
          <w:u w:val="none"/>
          <w:lang w:val="en-US" w:eastAsia="zh-CN"/>
        </w:rPr>
        <w:t>月</w:t>
      </w:r>
      <w:r>
        <w:rPr>
          <w:rFonts w:hint="eastAsia" w:ascii="仿宋" w:hAnsi="仿宋" w:eastAsia="仿宋" w:cs="仿宋"/>
          <w:b w:val="0"/>
          <w:bCs w:val="0"/>
          <w:sz w:val="30"/>
          <w:szCs w:val="30"/>
          <w:u w:val="single"/>
          <w:lang w:val="en-US" w:eastAsia="zh-CN"/>
        </w:rPr>
        <w:t xml:space="preserve"> 15 </w:t>
      </w:r>
      <w:r>
        <w:rPr>
          <w:rFonts w:hint="eastAsia" w:ascii="仿宋" w:hAnsi="仿宋" w:eastAsia="仿宋" w:cs="仿宋"/>
          <w:b w:val="0"/>
          <w:bCs w:val="0"/>
          <w:sz w:val="30"/>
          <w:szCs w:val="30"/>
          <w:u w:val="none"/>
          <w:lang w:val="en-US" w:eastAsia="zh-CN"/>
        </w:rPr>
        <w:t>日上午9：30时（北京时间）。</w:t>
      </w:r>
    </w:p>
    <w:p>
      <w:pPr>
        <w:pStyle w:val="2"/>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val="0"/>
          <w:sz w:val="30"/>
          <w:szCs w:val="30"/>
          <w:u w:val="none"/>
          <w:lang w:val="en-US" w:eastAsia="zh-CN"/>
        </w:rPr>
      </w:pPr>
      <w:r>
        <w:rPr>
          <w:rFonts w:hint="eastAsia" w:ascii="仿宋" w:hAnsi="仿宋" w:eastAsia="仿宋" w:cs="仿宋"/>
          <w:b w:val="0"/>
          <w:bCs w:val="0"/>
          <w:color w:val="auto"/>
          <w:kern w:val="2"/>
          <w:sz w:val="30"/>
          <w:szCs w:val="30"/>
          <w:u w:val="none"/>
          <w:lang w:val="en-US" w:eastAsia="zh-CN" w:bidi="ar-SA"/>
        </w:rPr>
        <w:t>2</w:t>
      </w:r>
      <w:r>
        <w:rPr>
          <w:rFonts w:hint="eastAsia" w:cs="仿宋"/>
          <w:b w:val="0"/>
          <w:bCs w:val="0"/>
          <w:color w:val="auto"/>
          <w:kern w:val="2"/>
          <w:sz w:val="30"/>
          <w:szCs w:val="30"/>
          <w:u w:val="none"/>
          <w:lang w:val="en-US" w:eastAsia="zh-CN" w:bidi="ar-SA"/>
        </w:rPr>
        <w:t>、</w:t>
      </w:r>
      <w:r>
        <w:rPr>
          <w:rFonts w:hint="eastAsia" w:ascii="仿宋" w:hAnsi="仿宋" w:eastAsia="仿宋" w:cs="仿宋"/>
          <w:b w:val="0"/>
          <w:bCs w:val="0"/>
          <w:color w:val="auto"/>
          <w:kern w:val="2"/>
          <w:sz w:val="30"/>
          <w:szCs w:val="30"/>
          <w:u w:val="none"/>
          <w:lang w:val="en-US" w:eastAsia="zh-CN" w:bidi="ar-SA"/>
        </w:rPr>
        <w:t>地点：</w:t>
      </w:r>
      <w:r>
        <w:rPr>
          <w:rFonts w:hint="eastAsia"/>
          <w:u w:val="single"/>
          <w:lang w:val="en-US" w:eastAsia="zh-CN"/>
        </w:rPr>
        <w:t>山西省长治市捉马大街北一环路9号801室</w:t>
      </w:r>
      <w:r>
        <w:rPr>
          <w:rFonts w:hint="eastAsia" w:ascii="仿宋" w:hAnsi="仿宋" w:eastAsia="仿宋" w:cs="仿宋"/>
          <w:b w:val="0"/>
          <w:bCs w:val="0"/>
          <w:sz w:val="30"/>
          <w:szCs w:val="30"/>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right="0" w:firstLine="600" w:firstLineChars="200"/>
        <w:jc w:val="both"/>
        <w:textAlignment w:val="auto"/>
        <w:rPr>
          <w:rFonts w:hint="default"/>
          <w:lang w:val="en-US" w:eastAsia="zh-CN"/>
        </w:rPr>
      </w:pPr>
      <w:r>
        <w:rPr>
          <w:rFonts w:hint="eastAsia" w:ascii="仿宋" w:hAnsi="仿宋" w:eastAsia="仿宋" w:cs="仿宋"/>
          <w:b w:val="0"/>
          <w:bCs w:val="0"/>
          <w:color w:val="auto"/>
          <w:kern w:val="2"/>
          <w:sz w:val="30"/>
          <w:szCs w:val="30"/>
          <w:u w:val="none"/>
          <w:lang w:val="en-US" w:eastAsia="zh-CN" w:bidi="ar-SA"/>
        </w:rPr>
        <w:t>3、响应文件资料每页均需加盖投标单位印章，并装订成册（3份），由报名人密封并盖章后，在比质比价文件递交截止时间前送达。</w:t>
      </w:r>
      <w:r>
        <w:rPr>
          <w:rFonts w:hint="eastAsia" w:ascii="仿宋" w:hAnsi="仿宋" w:eastAsia="仿宋" w:cs="仿宋"/>
          <w:b w:val="0"/>
          <w:bCs w:val="0"/>
          <w:sz w:val="30"/>
          <w:szCs w:val="30"/>
          <w:u w:val="none"/>
          <w:lang w:val="en-US" w:eastAsia="zh-CN"/>
        </w:rPr>
        <w:t>逾期送达、未送达至指定地点的或者不按照比质比价文件要求密封的比质比价文件，采购人将予以拒收。</w:t>
      </w:r>
    </w:p>
    <w:p>
      <w:pPr>
        <w:keepNext w:val="0"/>
        <w:keepLines w:val="0"/>
        <w:pageBreakBefore w:val="0"/>
        <w:widowControl w:val="0"/>
        <w:kinsoku/>
        <w:wordWrap/>
        <w:overflowPunct/>
        <w:topLinePunct w:val="0"/>
        <w:autoSpaceDE/>
        <w:autoSpaceDN/>
        <w:bidi w:val="0"/>
        <w:adjustRightInd/>
        <w:snapToGrid/>
        <w:spacing w:line="360" w:lineRule="auto"/>
        <w:ind w:left="0" w:leftChars="0" w:right="0"/>
        <w:jc w:val="both"/>
        <w:textAlignment w:val="auto"/>
        <w:rPr>
          <w:rFonts w:hint="eastAsia" w:ascii="仿宋" w:hAnsi="仿宋" w:eastAsia="仿宋" w:cs="仿宋"/>
          <w:b/>
          <w:bCs/>
          <w:sz w:val="30"/>
          <w:szCs w:val="30"/>
          <w:u w:val="none"/>
          <w:lang w:val="en-US" w:eastAsia="zh-CN"/>
        </w:rPr>
      </w:pPr>
      <w:r>
        <w:rPr>
          <w:rFonts w:hint="eastAsia" w:ascii="仿宋" w:hAnsi="仿宋" w:eastAsia="仿宋" w:cs="仿宋"/>
          <w:b/>
          <w:bCs/>
          <w:sz w:val="30"/>
          <w:szCs w:val="30"/>
          <w:u w:val="none"/>
          <w:lang w:val="en-US" w:eastAsia="zh-CN"/>
        </w:rPr>
        <w:t>六、开启</w:t>
      </w:r>
    </w:p>
    <w:p>
      <w:pPr>
        <w:keepNext w:val="0"/>
        <w:keepLines w:val="0"/>
        <w:pageBreakBefore w:val="0"/>
        <w:widowControl w:val="0"/>
        <w:kinsoku/>
        <w:wordWrap/>
        <w:overflowPunct/>
        <w:topLinePunct w:val="0"/>
        <w:bidi w:val="0"/>
        <w:snapToGrid/>
        <w:spacing w:line="360" w:lineRule="auto"/>
        <w:ind w:left="0" w:leftChars="0" w:right="0" w:firstLine="600" w:firstLineChars="200"/>
        <w:jc w:val="both"/>
        <w:textAlignment w:val="auto"/>
        <w:rPr>
          <w:rFonts w:hint="eastAsia" w:ascii="仿宋" w:hAnsi="仿宋" w:eastAsia="仿宋" w:cs="仿宋"/>
          <w:b w:val="0"/>
          <w:bCs w:val="0"/>
          <w:sz w:val="30"/>
          <w:szCs w:val="30"/>
          <w:u w:val="none"/>
          <w:lang w:val="en-US" w:eastAsia="zh-CN"/>
        </w:rPr>
      </w:pPr>
      <w:r>
        <w:rPr>
          <w:rFonts w:hint="eastAsia" w:ascii="仿宋" w:hAnsi="仿宋" w:eastAsia="仿宋" w:cs="仿宋"/>
          <w:b w:val="0"/>
          <w:bCs w:val="0"/>
          <w:sz w:val="30"/>
          <w:szCs w:val="30"/>
          <w:u w:val="none"/>
          <w:lang w:val="en-US" w:eastAsia="zh-CN"/>
        </w:rPr>
        <w:t>1、</w:t>
      </w:r>
      <w:r>
        <w:rPr>
          <w:rFonts w:hint="eastAsia" w:ascii="仿宋" w:hAnsi="仿宋" w:eastAsia="仿宋" w:cs="仿宋"/>
          <w:b w:val="0"/>
          <w:bCs w:val="0"/>
          <w:color w:val="auto"/>
          <w:kern w:val="2"/>
          <w:sz w:val="30"/>
          <w:szCs w:val="30"/>
          <w:u w:val="none"/>
          <w:lang w:val="en-US" w:eastAsia="zh-CN" w:bidi="ar-SA"/>
        </w:rPr>
        <w:t>开启</w:t>
      </w:r>
      <w:r>
        <w:rPr>
          <w:rFonts w:hint="eastAsia" w:ascii="仿宋" w:hAnsi="仿宋" w:eastAsia="仿宋" w:cs="仿宋"/>
          <w:b w:val="0"/>
          <w:bCs w:val="0"/>
          <w:sz w:val="30"/>
          <w:szCs w:val="30"/>
          <w:u w:val="none"/>
          <w:lang w:val="en-US" w:eastAsia="zh-CN"/>
        </w:rPr>
        <w:t>时间：</w:t>
      </w:r>
      <w:r>
        <w:rPr>
          <w:rFonts w:hint="eastAsia" w:ascii="仿宋" w:hAnsi="仿宋" w:eastAsia="仿宋" w:cs="仿宋"/>
          <w:b w:val="0"/>
          <w:bCs w:val="0"/>
          <w:sz w:val="30"/>
          <w:szCs w:val="30"/>
          <w:u w:val="single"/>
          <w:lang w:val="en-US" w:eastAsia="zh-CN"/>
        </w:rPr>
        <w:t xml:space="preserve"> 2023 </w:t>
      </w:r>
      <w:r>
        <w:rPr>
          <w:rFonts w:hint="eastAsia" w:ascii="仿宋" w:hAnsi="仿宋" w:eastAsia="仿宋" w:cs="仿宋"/>
          <w:b w:val="0"/>
          <w:bCs w:val="0"/>
          <w:sz w:val="30"/>
          <w:szCs w:val="30"/>
          <w:u w:val="none"/>
          <w:lang w:val="en-US" w:eastAsia="zh-CN"/>
        </w:rPr>
        <w:t>年</w:t>
      </w:r>
      <w:r>
        <w:rPr>
          <w:rFonts w:hint="eastAsia" w:ascii="仿宋" w:hAnsi="仿宋" w:eastAsia="仿宋" w:cs="仿宋"/>
          <w:b w:val="0"/>
          <w:bCs w:val="0"/>
          <w:sz w:val="30"/>
          <w:szCs w:val="30"/>
          <w:u w:val="single"/>
          <w:lang w:val="en-US" w:eastAsia="zh-CN"/>
        </w:rPr>
        <w:t xml:space="preserve">  12  </w:t>
      </w:r>
      <w:r>
        <w:rPr>
          <w:rFonts w:hint="eastAsia" w:ascii="仿宋" w:hAnsi="仿宋" w:eastAsia="仿宋" w:cs="仿宋"/>
          <w:b w:val="0"/>
          <w:bCs w:val="0"/>
          <w:sz w:val="30"/>
          <w:szCs w:val="30"/>
          <w:u w:val="none"/>
          <w:lang w:val="en-US" w:eastAsia="zh-CN"/>
        </w:rPr>
        <w:t>月</w:t>
      </w:r>
      <w:r>
        <w:rPr>
          <w:rFonts w:hint="eastAsia" w:ascii="仿宋" w:hAnsi="仿宋" w:eastAsia="仿宋" w:cs="仿宋"/>
          <w:b w:val="0"/>
          <w:bCs w:val="0"/>
          <w:sz w:val="30"/>
          <w:szCs w:val="30"/>
          <w:u w:val="single"/>
          <w:lang w:val="en-US" w:eastAsia="zh-CN"/>
        </w:rPr>
        <w:t xml:space="preserve">  15  </w:t>
      </w:r>
      <w:r>
        <w:rPr>
          <w:rFonts w:hint="eastAsia" w:ascii="仿宋" w:hAnsi="仿宋" w:eastAsia="仿宋" w:cs="仿宋"/>
          <w:b w:val="0"/>
          <w:bCs w:val="0"/>
          <w:sz w:val="30"/>
          <w:szCs w:val="30"/>
          <w:u w:val="none"/>
          <w:lang w:val="en-US" w:eastAsia="zh-CN"/>
        </w:rPr>
        <w:t>日上午9：30时（北京时间）。</w:t>
      </w: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600" w:firstLineChars="200"/>
        <w:jc w:val="both"/>
        <w:textAlignment w:val="auto"/>
        <w:rPr>
          <w:rFonts w:hint="default" w:ascii="仿宋" w:hAnsi="仿宋" w:eastAsia="仿宋" w:cs="仿宋"/>
          <w:b w:val="0"/>
          <w:bCs w:val="0"/>
          <w:color w:val="auto"/>
          <w:kern w:val="2"/>
          <w:sz w:val="30"/>
          <w:szCs w:val="30"/>
          <w:u w:val="none"/>
          <w:lang w:val="en-US" w:eastAsia="zh-CN" w:bidi="ar-SA"/>
        </w:rPr>
      </w:pPr>
      <w:r>
        <w:rPr>
          <w:rFonts w:hint="eastAsia" w:ascii="仿宋" w:hAnsi="仿宋" w:eastAsia="仿宋" w:cs="仿宋"/>
          <w:b w:val="0"/>
          <w:bCs w:val="0"/>
          <w:color w:val="auto"/>
          <w:kern w:val="2"/>
          <w:sz w:val="30"/>
          <w:szCs w:val="30"/>
          <w:u w:val="none"/>
          <w:lang w:val="en-US" w:eastAsia="zh-CN" w:bidi="ar-SA"/>
        </w:rPr>
        <w:t>2、地点：</w:t>
      </w:r>
      <w:r>
        <w:rPr>
          <w:rFonts w:hint="eastAsia" w:ascii="仿宋" w:hAnsi="仿宋" w:eastAsia="仿宋" w:cs="仿宋"/>
          <w:kern w:val="2"/>
          <w:sz w:val="30"/>
          <w:szCs w:val="30"/>
          <w:u w:val="single"/>
          <w:lang w:val="en-US" w:eastAsia="zh-CN" w:bidi="zh-CN"/>
        </w:rPr>
        <w:t>山西省长治市捉马大街北一环路9号315会议室</w:t>
      </w:r>
      <w:r>
        <w:rPr>
          <w:rFonts w:hint="eastAsia" w:ascii="仿宋" w:hAnsi="仿宋" w:eastAsia="仿宋" w:cs="仿宋"/>
          <w:kern w:val="2"/>
          <w:sz w:val="30"/>
          <w:szCs w:val="30"/>
          <w:u w:val="none"/>
          <w:lang w:val="en-US" w:eastAsia="zh-CN" w:bidi="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jc w:val="both"/>
        <w:textAlignment w:val="auto"/>
        <w:rPr>
          <w:rFonts w:hint="eastAsia" w:ascii="仿宋" w:hAnsi="仿宋" w:eastAsia="仿宋" w:cs="仿宋"/>
          <w:b/>
          <w:bCs/>
          <w:sz w:val="30"/>
          <w:szCs w:val="30"/>
          <w:u w:val="none"/>
          <w:lang w:val="en-US" w:eastAsia="zh-CN"/>
        </w:rPr>
      </w:pPr>
      <w:r>
        <w:rPr>
          <w:rFonts w:hint="eastAsia" w:ascii="仿宋" w:hAnsi="仿宋" w:eastAsia="仿宋" w:cs="仿宋"/>
          <w:b/>
          <w:bCs/>
          <w:sz w:val="30"/>
          <w:szCs w:val="30"/>
          <w:u w:val="none"/>
          <w:lang w:val="en-US" w:eastAsia="zh-CN"/>
        </w:rPr>
        <w:t>七、公告期限</w:t>
      </w:r>
    </w:p>
    <w:p>
      <w:pPr>
        <w:pStyle w:val="16"/>
        <w:keepNext w:val="0"/>
        <w:keepLines w:val="0"/>
        <w:pageBreakBefore w:val="0"/>
        <w:widowControl w:val="0"/>
        <w:kinsoku/>
        <w:wordWrap/>
        <w:overflowPunct/>
        <w:topLinePunct w:val="0"/>
        <w:bidi w:val="0"/>
        <w:snapToGrid/>
        <w:spacing w:line="360" w:lineRule="auto"/>
        <w:ind w:left="0" w:leftChars="0" w:firstLine="600" w:firstLineChars="200"/>
        <w:textAlignment w:val="auto"/>
        <w:rPr>
          <w:rFonts w:hint="eastAsia" w:ascii="仿宋" w:hAnsi="仿宋" w:eastAsia="仿宋" w:cs="仿宋"/>
          <w:b w:val="0"/>
          <w:bCs w:val="0"/>
          <w:color w:val="auto"/>
          <w:kern w:val="2"/>
          <w:sz w:val="30"/>
          <w:szCs w:val="30"/>
          <w:u w:val="none"/>
          <w:lang w:val="en-US" w:eastAsia="zh-CN" w:bidi="ar-SA"/>
        </w:rPr>
      </w:pPr>
      <w:r>
        <w:rPr>
          <w:rFonts w:hint="eastAsia" w:ascii="仿宋" w:hAnsi="仿宋" w:eastAsia="仿宋" w:cs="仿宋"/>
          <w:b w:val="0"/>
          <w:bCs w:val="0"/>
          <w:color w:val="auto"/>
          <w:kern w:val="2"/>
          <w:sz w:val="30"/>
          <w:szCs w:val="30"/>
          <w:u w:val="none"/>
          <w:lang w:val="en-US" w:eastAsia="zh-CN" w:bidi="ar-SA"/>
        </w:rPr>
        <w:t>自本公告发布之日起</w:t>
      </w:r>
      <w:r>
        <w:rPr>
          <w:rFonts w:hint="eastAsia" w:ascii="仿宋" w:hAnsi="仿宋" w:eastAsia="仿宋" w:cs="仿宋"/>
          <w:b w:val="0"/>
          <w:bCs w:val="0"/>
          <w:color w:val="auto"/>
          <w:kern w:val="2"/>
          <w:sz w:val="30"/>
          <w:szCs w:val="30"/>
          <w:u w:val="single"/>
          <w:lang w:val="en-US" w:eastAsia="zh-CN" w:bidi="ar-SA"/>
        </w:rPr>
        <w:t xml:space="preserve"> 3 </w:t>
      </w:r>
      <w:r>
        <w:rPr>
          <w:rFonts w:hint="eastAsia" w:ascii="仿宋" w:hAnsi="仿宋" w:eastAsia="仿宋" w:cs="仿宋"/>
          <w:b w:val="0"/>
          <w:bCs w:val="0"/>
          <w:color w:val="auto"/>
          <w:kern w:val="2"/>
          <w:sz w:val="30"/>
          <w:szCs w:val="30"/>
          <w:u w:val="none"/>
          <w:lang w:val="en-US" w:eastAsia="zh-CN" w:bidi="ar-SA"/>
        </w:rPr>
        <w:t>个工作日。</w:t>
      </w:r>
    </w:p>
    <w:p>
      <w:pPr>
        <w:pStyle w:val="16"/>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 w:hAnsi="仿宋" w:eastAsia="仿宋" w:cs="仿宋"/>
          <w:b/>
          <w:bCs/>
          <w:color w:val="auto"/>
          <w:kern w:val="2"/>
          <w:sz w:val="30"/>
          <w:szCs w:val="30"/>
          <w:u w:val="none"/>
          <w:lang w:val="en-US" w:eastAsia="zh-CN" w:bidi="ar-SA"/>
        </w:rPr>
      </w:pPr>
      <w:r>
        <w:rPr>
          <w:rFonts w:hint="eastAsia" w:ascii="仿宋" w:hAnsi="仿宋" w:eastAsia="仿宋" w:cs="仿宋"/>
          <w:b/>
          <w:bCs/>
          <w:color w:val="auto"/>
          <w:kern w:val="2"/>
          <w:sz w:val="30"/>
          <w:szCs w:val="30"/>
          <w:u w:val="none"/>
          <w:lang w:val="en-US" w:eastAsia="zh-CN" w:bidi="ar-SA"/>
        </w:rPr>
        <w:t>八、其他</w:t>
      </w:r>
    </w:p>
    <w:p>
      <w:pPr>
        <w:pStyle w:val="1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600" w:firstLineChars="200"/>
        <w:textAlignment w:val="auto"/>
        <w:rPr>
          <w:rFonts w:hint="default" w:ascii="仿宋" w:hAnsi="仿宋" w:eastAsia="仿宋" w:cs="仿宋"/>
          <w:b w:val="0"/>
          <w:bCs w:val="0"/>
          <w:color w:val="auto"/>
          <w:kern w:val="2"/>
          <w:sz w:val="30"/>
          <w:szCs w:val="30"/>
          <w:u w:val="none"/>
          <w:lang w:val="en-US" w:eastAsia="zh-CN" w:bidi="ar-SA"/>
        </w:rPr>
      </w:pPr>
      <w:r>
        <w:rPr>
          <w:rFonts w:hint="default" w:ascii="仿宋" w:hAnsi="仿宋" w:eastAsia="仿宋" w:cs="仿宋"/>
          <w:b w:val="0"/>
          <w:bCs w:val="0"/>
          <w:color w:val="auto"/>
          <w:kern w:val="2"/>
          <w:sz w:val="30"/>
          <w:szCs w:val="30"/>
          <w:u w:val="none"/>
          <w:lang w:val="en-US" w:eastAsia="zh-CN" w:bidi="ar-SA"/>
        </w:rPr>
        <w:t>对本次纳入潜在供应商范畴的商家，由</w:t>
      </w:r>
      <w:r>
        <w:rPr>
          <w:rFonts w:hint="eastAsia" w:ascii="仿宋" w:hAnsi="仿宋" w:eastAsia="仿宋" w:cs="仿宋"/>
          <w:b w:val="0"/>
          <w:bCs w:val="0"/>
          <w:color w:val="auto"/>
          <w:kern w:val="2"/>
          <w:sz w:val="30"/>
          <w:szCs w:val="30"/>
          <w:u w:val="none"/>
          <w:lang w:val="en-US" w:eastAsia="zh-CN" w:bidi="ar-SA"/>
        </w:rPr>
        <w:t>长治市长高智汇物业管理有限公司</w:t>
      </w:r>
      <w:r>
        <w:rPr>
          <w:rFonts w:hint="default" w:ascii="仿宋" w:hAnsi="仿宋" w:eastAsia="仿宋" w:cs="仿宋"/>
          <w:b w:val="0"/>
          <w:bCs w:val="0"/>
          <w:color w:val="auto"/>
          <w:kern w:val="2"/>
          <w:sz w:val="30"/>
          <w:szCs w:val="30"/>
          <w:u w:val="none"/>
          <w:lang w:val="en-US" w:eastAsia="zh-CN" w:bidi="ar-SA"/>
        </w:rPr>
        <w:t>每</w:t>
      </w:r>
      <w:r>
        <w:rPr>
          <w:rFonts w:hint="eastAsia" w:ascii="仿宋" w:hAnsi="仿宋" w:eastAsia="仿宋" w:cs="仿宋"/>
          <w:b w:val="0"/>
          <w:bCs w:val="0"/>
          <w:color w:val="auto"/>
          <w:kern w:val="2"/>
          <w:sz w:val="30"/>
          <w:szCs w:val="30"/>
          <w:u w:val="none"/>
          <w:lang w:val="en-US" w:eastAsia="zh-CN" w:bidi="ar-SA"/>
        </w:rPr>
        <w:t>月</w:t>
      </w:r>
      <w:r>
        <w:rPr>
          <w:rFonts w:hint="default" w:ascii="仿宋" w:hAnsi="仿宋" w:eastAsia="仿宋" w:cs="仿宋"/>
          <w:b w:val="0"/>
          <w:bCs w:val="0"/>
          <w:color w:val="auto"/>
          <w:kern w:val="2"/>
          <w:sz w:val="30"/>
          <w:szCs w:val="30"/>
          <w:u w:val="none"/>
          <w:lang w:val="en-US" w:eastAsia="zh-CN" w:bidi="ar-SA"/>
        </w:rPr>
        <w:t>负责对供应商进行综合考评，评价内容主要包括：产品质量、价格情况、服务保障质量等方面。评价等级分别为“</w:t>
      </w:r>
      <w:r>
        <w:rPr>
          <w:rFonts w:hint="eastAsia" w:ascii="仿宋" w:hAnsi="仿宋" w:eastAsia="仿宋" w:cs="仿宋"/>
          <w:b w:val="0"/>
          <w:bCs w:val="0"/>
          <w:color w:val="auto"/>
          <w:kern w:val="2"/>
          <w:sz w:val="30"/>
          <w:szCs w:val="30"/>
          <w:u w:val="none"/>
          <w:lang w:val="en-US" w:eastAsia="zh-CN" w:bidi="ar-SA"/>
        </w:rPr>
        <w:t>A</w:t>
      </w:r>
      <w:r>
        <w:rPr>
          <w:rFonts w:hint="default" w:ascii="仿宋" w:hAnsi="仿宋" w:eastAsia="仿宋" w:cs="仿宋"/>
          <w:b w:val="0"/>
          <w:bCs w:val="0"/>
          <w:color w:val="auto"/>
          <w:kern w:val="2"/>
          <w:sz w:val="30"/>
          <w:szCs w:val="30"/>
          <w:u w:val="none"/>
          <w:lang w:val="en-US" w:eastAsia="zh-CN" w:bidi="ar-SA"/>
        </w:rPr>
        <w:t>、</w:t>
      </w:r>
      <w:r>
        <w:rPr>
          <w:rFonts w:hint="eastAsia" w:ascii="仿宋" w:hAnsi="仿宋" w:eastAsia="仿宋" w:cs="仿宋"/>
          <w:b w:val="0"/>
          <w:bCs w:val="0"/>
          <w:color w:val="auto"/>
          <w:kern w:val="2"/>
          <w:sz w:val="30"/>
          <w:szCs w:val="30"/>
          <w:u w:val="none"/>
          <w:lang w:val="en-US" w:eastAsia="zh-CN" w:bidi="ar-SA"/>
        </w:rPr>
        <w:t>B</w:t>
      </w:r>
      <w:r>
        <w:rPr>
          <w:rFonts w:hint="default" w:ascii="仿宋" w:hAnsi="仿宋" w:eastAsia="仿宋" w:cs="仿宋"/>
          <w:b w:val="0"/>
          <w:bCs w:val="0"/>
          <w:color w:val="auto"/>
          <w:kern w:val="2"/>
          <w:sz w:val="30"/>
          <w:szCs w:val="30"/>
          <w:u w:val="none"/>
          <w:lang w:val="en-US" w:eastAsia="zh-CN" w:bidi="ar-SA"/>
        </w:rPr>
        <w:t>、</w:t>
      </w:r>
      <w:r>
        <w:rPr>
          <w:rFonts w:hint="eastAsia" w:ascii="仿宋" w:hAnsi="仿宋" w:eastAsia="仿宋" w:cs="仿宋"/>
          <w:b w:val="0"/>
          <w:bCs w:val="0"/>
          <w:color w:val="auto"/>
          <w:kern w:val="2"/>
          <w:sz w:val="30"/>
          <w:szCs w:val="30"/>
          <w:u w:val="none"/>
          <w:lang w:val="en-US" w:eastAsia="zh-CN" w:bidi="ar-SA"/>
        </w:rPr>
        <w:t>C、D</w:t>
      </w:r>
      <w:r>
        <w:rPr>
          <w:rFonts w:hint="default" w:ascii="仿宋" w:hAnsi="仿宋" w:eastAsia="仿宋" w:cs="仿宋"/>
          <w:b w:val="0"/>
          <w:bCs w:val="0"/>
          <w:color w:val="auto"/>
          <w:kern w:val="2"/>
          <w:sz w:val="30"/>
          <w:szCs w:val="30"/>
          <w:u w:val="none"/>
          <w:lang w:val="en-US" w:eastAsia="zh-CN" w:bidi="ar-SA"/>
        </w:rPr>
        <w:t>”</w:t>
      </w:r>
      <w:r>
        <w:rPr>
          <w:rFonts w:hint="eastAsia" w:ascii="仿宋" w:hAnsi="仿宋" w:eastAsia="仿宋" w:cs="仿宋"/>
          <w:b w:val="0"/>
          <w:bCs w:val="0"/>
          <w:color w:val="auto"/>
          <w:kern w:val="2"/>
          <w:sz w:val="30"/>
          <w:szCs w:val="30"/>
          <w:u w:val="none"/>
          <w:lang w:val="en-US" w:eastAsia="zh-CN" w:bidi="ar-SA"/>
        </w:rPr>
        <w:t>4</w:t>
      </w:r>
      <w:r>
        <w:rPr>
          <w:rFonts w:hint="default" w:ascii="仿宋" w:hAnsi="仿宋" w:eastAsia="仿宋" w:cs="仿宋"/>
          <w:b w:val="0"/>
          <w:bCs w:val="0"/>
          <w:color w:val="auto"/>
          <w:kern w:val="2"/>
          <w:sz w:val="30"/>
          <w:szCs w:val="30"/>
          <w:u w:val="none"/>
          <w:lang w:val="en-US" w:eastAsia="zh-CN" w:bidi="ar-SA"/>
        </w:rPr>
        <w:t>个等次。对评价等级为</w:t>
      </w:r>
      <w:r>
        <w:rPr>
          <w:rFonts w:hint="eastAsia" w:ascii="仿宋" w:hAnsi="仿宋" w:eastAsia="仿宋" w:cs="仿宋"/>
          <w:b w:val="0"/>
          <w:bCs w:val="0"/>
          <w:color w:val="auto"/>
          <w:kern w:val="2"/>
          <w:sz w:val="30"/>
          <w:szCs w:val="30"/>
          <w:u w:val="none"/>
          <w:lang w:val="en-US" w:eastAsia="zh-CN" w:bidi="ar-SA"/>
        </w:rPr>
        <w:t>D级</w:t>
      </w:r>
      <w:r>
        <w:rPr>
          <w:rFonts w:hint="default" w:ascii="仿宋" w:hAnsi="仿宋" w:eastAsia="仿宋" w:cs="仿宋"/>
          <w:b w:val="0"/>
          <w:bCs w:val="0"/>
          <w:color w:val="auto"/>
          <w:kern w:val="2"/>
          <w:sz w:val="30"/>
          <w:szCs w:val="30"/>
          <w:u w:val="none"/>
          <w:lang w:val="en-US" w:eastAsia="zh-CN" w:bidi="ar-SA"/>
        </w:rPr>
        <w:t>的供应商，</w:t>
      </w:r>
      <w:r>
        <w:rPr>
          <w:rFonts w:hint="eastAsia" w:ascii="仿宋" w:hAnsi="仿宋" w:eastAsia="仿宋" w:cs="仿宋"/>
          <w:b w:val="0"/>
          <w:bCs w:val="0"/>
          <w:color w:val="auto"/>
          <w:kern w:val="2"/>
          <w:sz w:val="30"/>
          <w:szCs w:val="30"/>
          <w:u w:val="none"/>
          <w:lang w:val="en-US" w:eastAsia="zh-CN" w:bidi="ar-SA"/>
        </w:rPr>
        <w:t>长治市长高智汇物业管理有限公司</w:t>
      </w:r>
      <w:r>
        <w:rPr>
          <w:rFonts w:hint="default" w:ascii="仿宋" w:hAnsi="仿宋" w:eastAsia="仿宋" w:cs="仿宋"/>
          <w:b w:val="0"/>
          <w:bCs w:val="0"/>
          <w:color w:val="auto"/>
          <w:kern w:val="2"/>
          <w:sz w:val="30"/>
          <w:szCs w:val="30"/>
          <w:u w:val="none"/>
          <w:lang w:val="en-US" w:eastAsia="zh-CN" w:bidi="ar-SA"/>
        </w:rPr>
        <w:t>有权终止其服务合同。</w:t>
      </w:r>
    </w:p>
    <w:p>
      <w:pPr>
        <w:pStyle w:val="16"/>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仿宋" w:hAnsi="仿宋" w:eastAsia="仿宋" w:cs="仿宋"/>
          <w:b/>
          <w:bCs/>
          <w:color w:val="auto"/>
          <w:kern w:val="2"/>
          <w:sz w:val="30"/>
          <w:szCs w:val="30"/>
          <w:u w:val="none"/>
          <w:lang w:val="en-US" w:eastAsia="zh-CN" w:bidi="ar-SA"/>
        </w:rPr>
      </w:pPr>
      <w:r>
        <w:rPr>
          <w:rFonts w:hint="eastAsia" w:ascii="仿宋" w:hAnsi="仿宋" w:eastAsia="仿宋" w:cs="仿宋"/>
          <w:b/>
          <w:bCs/>
          <w:color w:val="auto"/>
          <w:kern w:val="2"/>
          <w:sz w:val="30"/>
          <w:szCs w:val="30"/>
          <w:u w:val="none"/>
          <w:lang w:val="en-US" w:eastAsia="zh-CN" w:bidi="ar-SA"/>
        </w:rPr>
        <w:t>九、联系方式</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jc w:val="left"/>
        <w:rPr>
          <w:rFonts w:hint="default" w:ascii="仿宋" w:hAnsi="仿宋" w:eastAsia="仿宋" w:cs="仿宋"/>
          <w:b w:val="0"/>
          <w:bCs w:val="0"/>
          <w:sz w:val="30"/>
          <w:szCs w:val="30"/>
          <w:u w:val="single"/>
          <w:lang w:val="en-US" w:eastAsia="zh-CN"/>
        </w:rPr>
      </w:pPr>
      <w:r>
        <w:rPr>
          <w:rFonts w:hint="eastAsia" w:ascii="仿宋" w:hAnsi="仿宋" w:eastAsia="仿宋" w:cs="仿宋"/>
          <w:b w:val="0"/>
          <w:bCs w:val="0"/>
          <w:color w:val="auto"/>
          <w:kern w:val="2"/>
          <w:sz w:val="30"/>
          <w:szCs w:val="30"/>
          <w:u w:val="none"/>
          <w:lang w:val="en-US" w:eastAsia="zh-CN" w:bidi="ar-SA"/>
        </w:rPr>
        <w:t>采购人：</w:t>
      </w:r>
      <w:r>
        <w:rPr>
          <w:rFonts w:hint="eastAsia" w:ascii="仿宋" w:hAnsi="仿宋" w:eastAsia="仿宋" w:cs="仿宋"/>
          <w:kern w:val="2"/>
          <w:sz w:val="30"/>
          <w:szCs w:val="30"/>
          <w:u w:val="single"/>
          <w:lang w:val="en-US" w:eastAsia="zh-CN" w:bidi="zh-CN"/>
        </w:rPr>
        <w:t xml:space="preserve">长治市长高智汇物业管理有限公司           </w:t>
      </w:r>
    </w:p>
    <w:p>
      <w:pPr>
        <w:pStyle w:val="2"/>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 w:hAnsi="仿宋" w:eastAsia="仿宋" w:cs="仿宋"/>
          <w:b w:val="0"/>
          <w:bCs w:val="0"/>
          <w:sz w:val="32"/>
          <w:szCs w:val="32"/>
          <w:u w:val="none"/>
          <w:lang w:val="en-US" w:eastAsia="zh-CN"/>
        </w:rPr>
      </w:pPr>
      <w:r>
        <w:rPr>
          <w:rFonts w:hint="eastAsia" w:ascii="仿宋" w:hAnsi="仿宋" w:eastAsia="仿宋" w:cs="仿宋"/>
          <w:b w:val="0"/>
          <w:bCs w:val="0"/>
          <w:sz w:val="30"/>
          <w:szCs w:val="30"/>
          <w:u w:val="none"/>
          <w:lang w:val="en-US" w:eastAsia="zh-CN"/>
        </w:rPr>
        <w:t>地  址：</w:t>
      </w:r>
      <w:r>
        <w:rPr>
          <w:rFonts w:hint="eastAsia" w:ascii="仿宋" w:hAnsi="仿宋" w:eastAsia="仿宋" w:cs="仿宋"/>
          <w:kern w:val="2"/>
          <w:sz w:val="30"/>
          <w:szCs w:val="30"/>
          <w:u w:val="single"/>
          <w:lang w:val="en-US" w:eastAsia="zh-CN" w:bidi="zh-CN"/>
        </w:rPr>
        <w:t>长治市捉马大街</w:t>
      </w:r>
      <w:r>
        <w:rPr>
          <w:rFonts w:hint="eastAsia" w:cs="仿宋"/>
          <w:kern w:val="2"/>
          <w:sz w:val="30"/>
          <w:szCs w:val="30"/>
          <w:u w:val="single"/>
          <w:lang w:val="en-US" w:eastAsia="zh-CN" w:bidi="zh-CN"/>
        </w:rPr>
        <w:t>北一环路9号</w:t>
      </w:r>
      <w:r>
        <w:rPr>
          <w:rFonts w:hint="eastAsia" w:cs="仿宋"/>
          <w:b w:val="0"/>
          <w:bCs w:val="0"/>
          <w:color w:val="auto"/>
          <w:kern w:val="2"/>
          <w:sz w:val="30"/>
          <w:szCs w:val="30"/>
          <w:u w:val="single"/>
          <w:lang w:val="en-US" w:eastAsia="zh-CN" w:bidi="ar-SA"/>
        </w:rPr>
        <w:t xml:space="preserve">     </w:t>
      </w:r>
    </w:p>
    <w:p>
      <w:pPr>
        <w:pStyle w:val="16"/>
        <w:keepNext w:val="0"/>
        <w:keepLines w:val="0"/>
        <w:pageBreakBefore w:val="0"/>
        <w:widowControl w:val="0"/>
        <w:numPr>
          <w:ilvl w:val="0"/>
          <w:numId w:val="0"/>
        </w:numPr>
        <w:kinsoku/>
        <w:wordWrap/>
        <w:overflowPunct/>
        <w:topLinePunct w:val="0"/>
        <w:bidi w:val="0"/>
        <w:snapToGrid/>
        <w:spacing w:line="360" w:lineRule="auto"/>
        <w:ind w:left="0" w:leftChars="0" w:firstLine="642"/>
        <w:textAlignment w:val="auto"/>
        <w:rPr>
          <w:rFonts w:hint="default" w:ascii="仿宋" w:hAnsi="仿宋" w:eastAsia="仿宋" w:cs="仿宋"/>
          <w:b w:val="0"/>
          <w:bCs w:val="0"/>
          <w:sz w:val="30"/>
          <w:szCs w:val="30"/>
          <w:u w:val="single"/>
          <w:lang w:eastAsia="zh-CN"/>
        </w:rPr>
      </w:pPr>
      <w:r>
        <w:rPr>
          <w:rFonts w:hint="eastAsia" w:ascii="仿宋" w:hAnsi="仿宋" w:eastAsia="仿宋" w:cs="仿宋"/>
          <w:b w:val="0"/>
          <w:bCs w:val="0"/>
          <w:sz w:val="30"/>
          <w:szCs w:val="30"/>
          <w:u w:val="none"/>
          <w:lang w:val="en-US" w:eastAsia="zh-CN"/>
        </w:rPr>
        <w:t>联系人：</w:t>
      </w:r>
      <w:r>
        <w:rPr>
          <w:rFonts w:hint="eastAsia" w:ascii="仿宋" w:hAnsi="仿宋" w:eastAsia="仿宋" w:cs="仿宋"/>
          <w:b w:val="0"/>
          <w:bCs w:val="0"/>
          <w:sz w:val="30"/>
          <w:szCs w:val="30"/>
          <w:u w:val="single"/>
          <w:lang w:val="en-US" w:eastAsia="zh-CN"/>
        </w:rPr>
        <w:t xml:space="preserve">      常先生                             </w:t>
      </w:r>
      <w:r>
        <w:rPr>
          <w:rFonts w:hint="default" w:ascii="仿宋" w:hAnsi="仿宋" w:eastAsia="仿宋" w:cs="仿宋"/>
          <w:b w:val="0"/>
          <w:bCs w:val="0"/>
          <w:sz w:val="30"/>
          <w:szCs w:val="30"/>
          <w:u w:val="single"/>
          <w:lang w:eastAsia="zh-CN"/>
        </w:rPr>
        <w:t xml:space="preserve">  </w:t>
      </w:r>
    </w:p>
    <w:p>
      <w:pPr>
        <w:pStyle w:val="16"/>
        <w:keepNext w:val="0"/>
        <w:keepLines w:val="0"/>
        <w:pageBreakBefore w:val="0"/>
        <w:widowControl w:val="0"/>
        <w:numPr>
          <w:ilvl w:val="0"/>
          <w:numId w:val="0"/>
        </w:numPr>
        <w:kinsoku/>
        <w:wordWrap/>
        <w:overflowPunct/>
        <w:topLinePunct w:val="0"/>
        <w:bidi w:val="0"/>
        <w:snapToGrid/>
        <w:spacing w:line="360" w:lineRule="auto"/>
        <w:ind w:left="0" w:leftChars="0" w:firstLine="642"/>
        <w:textAlignment w:val="auto"/>
        <w:rPr>
          <w:rFonts w:hint="default" w:ascii="仿宋" w:hAnsi="仿宋" w:eastAsia="仿宋" w:cs="仿宋"/>
          <w:sz w:val="30"/>
          <w:szCs w:val="30"/>
          <w:u w:val="none"/>
          <w:lang w:eastAsia="zh-CN"/>
        </w:rPr>
        <w:sectPr>
          <w:footerReference r:id="rId3" w:type="default"/>
          <w:pgSz w:w="11906" w:h="16838"/>
          <w:pgMar w:top="1440" w:right="1440" w:bottom="1440" w:left="1440" w:header="851" w:footer="992" w:gutter="0"/>
          <w:pgNumType w:fmt="decimal" w:start="1"/>
          <w:cols w:space="425" w:num="1"/>
          <w:docGrid w:type="lines" w:linePitch="312" w:charSpace="0"/>
        </w:sectPr>
      </w:pPr>
      <w:r>
        <w:rPr>
          <w:rFonts w:hint="eastAsia" w:ascii="仿宋" w:hAnsi="仿宋" w:eastAsia="仿宋" w:cs="仿宋"/>
          <w:b w:val="0"/>
          <w:bCs w:val="0"/>
          <w:sz w:val="30"/>
          <w:szCs w:val="30"/>
          <w:u w:val="none"/>
          <w:lang w:val="en-US" w:eastAsia="zh-CN"/>
        </w:rPr>
        <w:t>联系电话：</w:t>
      </w:r>
      <w:r>
        <w:rPr>
          <w:rFonts w:hint="eastAsia" w:ascii="仿宋" w:hAnsi="仿宋" w:eastAsia="仿宋" w:cs="仿宋"/>
          <w:b w:val="0"/>
          <w:bCs w:val="0"/>
          <w:sz w:val="30"/>
          <w:szCs w:val="30"/>
          <w:u w:val="single"/>
          <w:lang w:val="en-US" w:eastAsia="zh-CN"/>
        </w:rPr>
        <w:t xml:space="preserve">    15835146112                       </w:t>
      </w:r>
      <w:r>
        <w:rPr>
          <w:rFonts w:hint="default" w:ascii="仿宋" w:hAnsi="仿宋" w:eastAsia="仿宋" w:cs="仿宋"/>
          <w:b w:val="0"/>
          <w:bCs w:val="0"/>
          <w:sz w:val="30"/>
          <w:szCs w:val="30"/>
          <w:u w:val="single"/>
          <w:lang w:eastAsia="zh-CN"/>
        </w:rPr>
        <w:t xml:space="preserve"> </w:t>
      </w:r>
    </w:p>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第二章 响应文件格式</w:t>
      </w:r>
      <w:bookmarkEnd w:id="0"/>
    </w:p>
    <w:p>
      <w:pPr>
        <w:pStyle w:val="16"/>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16"/>
        <w:rPr>
          <w:rFonts w:hint="eastAsia" w:ascii="方正小标宋简体" w:hAnsi="方正小标宋简体" w:eastAsia="方正小标宋简体" w:cs="方正小标宋简体"/>
          <w:sz w:val="44"/>
          <w:szCs w:val="44"/>
          <w:lang w:val="en-US" w:eastAsia="zh-CN"/>
        </w:rPr>
      </w:pPr>
    </w:p>
    <w:p>
      <w:pPr>
        <w:pStyle w:val="16"/>
        <w:rPr>
          <w:rFonts w:hint="eastAsia" w:ascii="方正小标宋简体" w:hAnsi="方正小标宋简体" w:eastAsia="方正小标宋简体" w:cs="方正小标宋简体"/>
          <w:sz w:val="44"/>
          <w:szCs w:val="44"/>
          <w:lang w:val="en-US" w:eastAsia="zh-CN"/>
        </w:rPr>
      </w:pPr>
    </w:p>
    <w:p>
      <w:pPr>
        <w:pStyle w:val="16"/>
        <w:rPr>
          <w:rFonts w:hint="eastAsia" w:ascii="方正小标宋简体" w:hAnsi="方正小标宋简体" w:eastAsia="方正小标宋简体" w:cs="方正小标宋简体"/>
          <w:sz w:val="44"/>
          <w:szCs w:val="44"/>
          <w:lang w:val="en-US" w:eastAsia="zh-CN"/>
        </w:rPr>
      </w:pPr>
    </w:p>
    <w:p>
      <w:pPr>
        <w:pStyle w:val="16"/>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编号：长高智汇（2023）比字第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项目名称： </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16"/>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16"/>
        <w:rPr>
          <w:rFonts w:hint="eastAsia" w:ascii="方正小标宋简体" w:hAnsi="方正小标宋简体" w:eastAsia="方正小标宋简体" w:cs="方正小标宋简体"/>
          <w:sz w:val="32"/>
          <w:szCs w:val="32"/>
          <w:lang w:val="en-US" w:eastAsia="zh-CN"/>
        </w:rPr>
      </w:pPr>
    </w:p>
    <w:p>
      <w:pPr>
        <w:pStyle w:val="16"/>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2"/>
        <w:rPr>
          <w:rFonts w:hint="default"/>
          <w:lang w:val="en-US" w:eastAsia="zh-CN"/>
        </w:rPr>
      </w:pPr>
    </w:p>
    <w:p>
      <w:pPr>
        <w:pStyle w:val="16"/>
        <w:rPr>
          <w:rFonts w:hint="default" w:ascii="仿宋_GB2312" w:hAnsi="仿宋_GB2312" w:eastAsia="仿宋_GB2312" w:cs="仿宋_GB2312"/>
          <w:sz w:val="32"/>
          <w:szCs w:val="32"/>
          <w:lang w:val="en-US" w:eastAsia="zh-CN"/>
        </w:rPr>
      </w:pPr>
    </w:p>
    <w:p>
      <w:pPr>
        <w:pStyle w:val="16"/>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16"/>
        <w:jc w:val="center"/>
        <w:rPr>
          <w:rFonts w:hint="eastAsia" w:ascii="黑体" w:hAnsi="黑体" w:eastAsia="黑体" w:cs="黑体"/>
          <w:sz w:val="36"/>
          <w:szCs w:val="36"/>
          <w:lang w:val="en-US" w:eastAsia="zh-CN"/>
        </w:rPr>
      </w:pPr>
    </w:p>
    <w:p>
      <w:pPr>
        <w:pStyle w:val="16"/>
        <w:numPr>
          <w:ilvl w:val="0"/>
          <w:numId w:val="2"/>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报价函、附件清单名录报价情况表</w:t>
      </w:r>
    </w:p>
    <w:p>
      <w:pPr>
        <w:pStyle w:val="16"/>
        <w:numPr>
          <w:ilvl w:val="0"/>
          <w:numId w:val="2"/>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16"/>
        <w:numPr>
          <w:ilvl w:val="0"/>
          <w:numId w:val="2"/>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16"/>
        <w:numPr>
          <w:ilvl w:val="0"/>
          <w:numId w:val="2"/>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16"/>
        <w:numPr>
          <w:ilvl w:val="0"/>
          <w:numId w:val="2"/>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16"/>
        <w:numPr>
          <w:ilvl w:val="0"/>
          <w:numId w:val="2"/>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pPr>
        <w:pStyle w:val="16"/>
        <w:numPr>
          <w:ilvl w:val="0"/>
          <w:numId w:val="2"/>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16"/>
        <w:numPr>
          <w:ilvl w:val="0"/>
          <w:numId w:val="2"/>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服务保障详细方案及服务承诺（格式自拟）</w:t>
      </w:r>
    </w:p>
    <w:p>
      <w:pPr>
        <w:pStyle w:val="16"/>
        <w:numPr>
          <w:ilvl w:val="0"/>
          <w:numId w:val="2"/>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商品价格优惠承诺书（格式自拟）</w:t>
      </w:r>
    </w:p>
    <w:p>
      <w:pPr>
        <w:pStyle w:val="16"/>
        <w:numPr>
          <w:ilvl w:val="0"/>
          <w:numId w:val="2"/>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提供2021年1月1日至今的类似供货服务业绩证明，以签订的合同为准，未提供合同复印件者此项不予认可</w:t>
      </w:r>
    </w:p>
    <w:p>
      <w:pPr>
        <w:pStyle w:val="16"/>
        <w:numPr>
          <w:ilvl w:val="0"/>
          <w:numId w:val="2"/>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固定经营场所有效相关证明材料（如：租赁合同、房产证复印件），固定经营场所门面彩色照片</w:t>
      </w:r>
    </w:p>
    <w:p>
      <w:pPr>
        <w:pStyle w:val="16"/>
        <w:numPr>
          <w:ilvl w:val="0"/>
          <w:numId w:val="2"/>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报名单位认为需要提交的其他文件</w:t>
      </w:r>
    </w:p>
    <w:p>
      <w:pPr>
        <w:pStyle w:val="16"/>
        <w:ind w:firstLine="720"/>
        <w:jc w:val="both"/>
        <w:rPr>
          <w:rFonts w:hint="default" w:ascii="仿宋" w:hAnsi="仿宋" w:eastAsia="仿宋" w:cs="仿宋"/>
          <w:sz w:val="36"/>
          <w:szCs w:val="36"/>
          <w:lang w:val="en-US" w:eastAsia="zh-CN"/>
        </w:rPr>
      </w:pPr>
    </w:p>
    <w:p>
      <w:pPr>
        <w:pStyle w:val="16"/>
        <w:ind w:firstLine="720"/>
        <w:jc w:val="both"/>
        <w:rPr>
          <w:rFonts w:hint="default" w:ascii="仿宋" w:hAnsi="仿宋" w:eastAsia="仿宋" w:cs="仿宋"/>
          <w:sz w:val="36"/>
          <w:szCs w:val="36"/>
          <w:lang w:val="en-US" w:eastAsia="zh-CN"/>
        </w:rPr>
      </w:pPr>
    </w:p>
    <w:p>
      <w:pPr>
        <w:pStyle w:val="16"/>
        <w:ind w:firstLine="720"/>
        <w:jc w:val="both"/>
        <w:rPr>
          <w:rFonts w:hint="default" w:ascii="仿宋" w:hAnsi="仿宋" w:eastAsia="仿宋" w:cs="仿宋"/>
          <w:sz w:val="36"/>
          <w:szCs w:val="36"/>
          <w:lang w:val="en-US" w:eastAsia="zh-CN"/>
        </w:rPr>
      </w:pPr>
    </w:p>
    <w:p>
      <w:pPr>
        <w:pStyle w:val="16"/>
        <w:jc w:val="both"/>
        <w:rPr>
          <w:rFonts w:hint="default" w:ascii="仿宋" w:hAnsi="仿宋" w:eastAsia="仿宋" w:cs="仿宋"/>
          <w:sz w:val="36"/>
          <w:szCs w:val="36"/>
          <w:lang w:val="en-US" w:eastAsia="zh-CN"/>
        </w:rPr>
      </w:pPr>
    </w:p>
    <w:p>
      <w:pPr>
        <w:pStyle w:val="16"/>
        <w:jc w:val="both"/>
        <w:rPr>
          <w:rFonts w:hint="default" w:ascii="仿宋" w:hAnsi="仿宋" w:eastAsia="仿宋" w:cs="仿宋"/>
          <w:sz w:val="36"/>
          <w:szCs w:val="36"/>
          <w:lang w:val="en-US" w:eastAsia="zh-CN"/>
        </w:rPr>
      </w:pPr>
    </w:p>
    <w:p>
      <w:pPr>
        <w:pStyle w:val="16"/>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16"/>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1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16"/>
        <w:keepNext w:val="0"/>
        <w:keepLines w:val="0"/>
        <w:pageBreakBefore w:val="0"/>
        <w:widowControl w:val="0"/>
        <w:numPr>
          <w:ilvl w:val="0"/>
          <w:numId w:val="4"/>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16"/>
        <w:keepNext w:val="0"/>
        <w:keepLines w:val="0"/>
        <w:pageBreakBefore w:val="0"/>
        <w:widowControl w:val="0"/>
        <w:numPr>
          <w:ilvl w:val="0"/>
          <w:numId w:val="4"/>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1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1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1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1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16"/>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6"/>
        <w:jc w:val="both"/>
        <w:rPr>
          <w:rFonts w:hint="default" w:ascii="仿宋_GB2312" w:hAnsi="仿宋_GB2312" w:eastAsia="仿宋_GB2312" w:cs="仿宋_GB2312"/>
          <w:b/>
          <w:bCs/>
          <w:sz w:val="40"/>
          <w:szCs w:val="40"/>
          <w:lang w:val="en-US" w:eastAsia="zh-CN"/>
        </w:rPr>
      </w:pPr>
    </w:p>
    <w:p>
      <w:pPr>
        <w:pStyle w:val="16"/>
        <w:jc w:val="center"/>
        <w:rPr>
          <w:rFonts w:hint="eastAsia" w:ascii="仿宋_GB2312" w:hAnsi="仿宋_GB2312" w:eastAsia="仿宋_GB2312" w:cs="仿宋_GB2312"/>
          <w:b/>
          <w:bCs/>
          <w:sz w:val="40"/>
          <w:szCs w:val="40"/>
          <w:lang w:val="en-US" w:eastAsia="zh-CN"/>
        </w:rPr>
      </w:pPr>
    </w:p>
    <w:p>
      <w:pPr>
        <w:pStyle w:val="16"/>
        <w:jc w:val="both"/>
        <w:rPr>
          <w:rFonts w:hint="eastAsia" w:ascii="仿宋_GB2312" w:hAnsi="仿宋_GB2312" w:eastAsia="仿宋_GB2312" w:cs="仿宋_GB2312"/>
          <w:b/>
          <w:bCs/>
          <w:sz w:val="40"/>
          <w:szCs w:val="40"/>
          <w:lang w:val="en-US" w:eastAsia="zh-CN"/>
        </w:rPr>
      </w:pPr>
    </w:p>
    <w:p>
      <w:pPr>
        <w:pStyle w:val="16"/>
        <w:jc w:val="both"/>
        <w:rPr>
          <w:rFonts w:hint="eastAsia" w:ascii="仿宋_GB2312" w:hAnsi="仿宋_GB2312" w:eastAsia="仿宋_GB2312" w:cs="仿宋_GB2312"/>
          <w:b/>
          <w:bCs/>
          <w:sz w:val="40"/>
          <w:szCs w:val="40"/>
          <w:lang w:val="en-US" w:eastAsia="zh-CN"/>
        </w:rPr>
      </w:pPr>
    </w:p>
    <w:p>
      <w:pPr>
        <w:pStyle w:val="16"/>
        <w:jc w:val="both"/>
        <w:rPr>
          <w:rFonts w:hint="eastAsia" w:ascii="仿宋_GB2312" w:hAnsi="仿宋_GB2312" w:eastAsia="仿宋_GB2312" w:cs="仿宋_GB2312"/>
          <w:b/>
          <w:bCs/>
          <w:sz w:val="40"/>
          <w:szCs w:val="40"/>
          <w:lang w:val="en-US" w:eastAsia="zh-CN"/>
        </w:rPr>
      </w:pPr>
    </w:p>
    <w:p>
      <w:pPr>
        <w:pStyle w:val="16"/>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6"/>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eastAsia"/>
          <w:lang w:val="en-US" w:eastAsia="zh-CN"/>
        </w:rPr>
      </w:pPr>
    </w:p>
    <w:p>
      <w:pPr>
        <w:pStyle w:val="16"/>
        <w:numPr>
          <w:ilvl w:val="0"/>
          <w:numId w:val="0"/>
        </w:numPr>
        <w:rPr>
          <w:rFonts w:hint="default"/>
          <w:lang w:val="en-US" w:eastAsia="zh-CN"/>
        </w:rPr>
      </w:pPr>
      <w:r>
        <w:rPr>
          <w:rFonts w:hint="eastAsia"/>
          <w:lang w:val="en-US" w:eastAsia="zh-CN"/>
        </w:rPr>
        <w:t>注：在 “信用中国”网站（www.creditchina.gov.cn）中下载，并加盖供应商公章，</w:t>
      </w:r>
    </w:p>
    <w:p>
      <w:pPr>
        <w:pStyle w:val="16"/>
        <w:rPr>
          <w:rFonts w:hint="eastAsia"/>
          <w:lang w:val="en-US" w:eastAsia="zh-CN"/>
        </w:rPr>
      </w:pPr>
    </w:p>
    <w:bookmarkEnd w:id="1"/>
    <w:p>
      <w:pPr>
        <w:pageBreakBefore w:val="0"/>
        <w:numPr>
          <w:ilvl w:val="0"/>
          <w:numId w:val="5"/>
        </w:numPr>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收款方式承诺</w:t>
      </w:r>
    </w:p>
    <w:p>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6"/>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6"/>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16"/>
        <w:rPr>
          <w:rFonts w:hint="eastAsia" w:ascii="仿宋_GB2312" w:hAnsi="仿宋_GB2312" w:eastAsia="仿宋_GB2312" w:cs="仿宋_GB2312"/>
          <w:b/>
          <w:bCs/>
          <w:color w:val="000000"/>
          <w:kern w:val="0"/>
          <w:sz w:val="40"/>
          <w:szCs w:val="40"/>
          <w:lang w:val="en-US" w:eastAsia="zh-CN" w:bidi="ar-SA"/>
        </w:rPr>
      </w:pPr>
    </w:p>
    <w:p>
      <w:pPr>
        <w:pStyle w:val="16"/>
        <w:rPr>
          <w:rFonts w:hint="eastAsia" w:ascii="仿宋_GB2312" w:hAnsi="仿宋_GB2312" w:eastAsia="仿宋_GB2312" w:cs="仿宋_GB2312"/>
          <w:b/>
          <w:bCs/>
          <w:color w:val="000000"/>
          <w:kern w:val="0"/>
          <w:sz w:val="40"/>
          <w:szCs w:val="40"/>
          <w:lang w:val="en-US" w:eastAsia="zh-CN" w:bidi="ar-SA"/>
        </w:rPr>
      </w:pPr>
    </w:p>
    <w:p>
      <w:pPr>
        <w:pStyle w:val="16"/>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5"/>
        </w:numPr>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资质证明材料（如有）</w:t>
      </w:r>
    </w:p>
    <w:p>
      <w:pPr>
        <w:pStyle w:val="16"/>
        <w:pageBreakBefore w:val="0"/>
        <w:kinsoku/>
        <w:wordWrap/>
        <w:overflowPunct/>
        <w:topLinePunct w:val="0"/>
        <w:bidi w:val="0"/>
        <w:snapToGrid/>
        <w:spacing w:line="360" w:lineRule="auto"/>
        <w:ind w:right="0"/>
        <w:textAlignment w:val="auto"/>
        <w:rPr>
          <w:rFonts w:hint="default"/>
          <w:lang w:val="en-US" w:eastAsia="zh-CN"/>
        </w:rPr>
      </w:pPr>
    </w:p>
    <w:p>
      <w:pPr>
        <w:rPr>
          <w:rFonts w:hint="default"/>
          <w:lang w:val="en-US" w:eastAsia="zh-CN"/>
        </w:rPr>
      </w:pPr>
      <w:r>
        <w:rPr>
          <w:rFonts w:hint="default"/>
          <w:lang w:val="en-US" w:eastAsia="zh-CN"/>
        </w:rPr>
        <w:br w:type="page"/>
      </w:r>
    </w:p>
    <w:p>
      <w:pPr>
        <w:pStyle w:val="16"/>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供应商比选项目评分标准</w:t>
      </w:r>
    </w:p>
    <w:tbl>
      <w:tblPr>
        <w:tblStyle w:val="12"/>
        <w:tblW w:w="93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8"/>
        <w:gridCol w:w="985"/>
        <w:gridCol w:w="1000"/>
        <w:gridCol w:w="6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858" w:type="dxa"/>
          </w:tcPr>
          <w:p>
            <w:pPr>
              <w:pStyle w:val="16"/>
              <w:pageBreakBefore w:val="0"/>
              <w:kinsoku/>
              <w:wordWrap/>
              <w:overflowPunct/>
              <w:topLinePunct w:val="0"/>
              <w:bidi w:val="0"/>
              <w:snapToGrid/>
              <w:spacing w:line="360" w:lineRule="auto"/>
              <w:ind w:right="0"/>
              <w:jc w:val="center"/>
              <w:textAlignment w:val="auto"/>
              <w:rPr>
                <w:rFonts w:hint="default"/>
                <w:vertAlign w:val="baseline"/>
                <w:lang w:val="en-US" w:eastAsia="zh-CN"/>
              </w:rPr>
            </w:pPr>
            <w:r>
              <w:rPr>
                <w:rFonts w:hint="eastAsia" w:ascii="黑体" w:hAnsi="黑体" w:eastAsia="黑体" w:cs="黑体"/>
                <w:sz w:val="30"/>
                <w:szCs w:val="30"/>
                <w:vertAlign w:val="baseline"/>
                <w:lang w:val="en-US" w:eastAsia="zh-CN"/>
              </w:rPr>
              <w:t>序号</w:t>
            </w:r>
          </w:p>
        </w:tc>
        <w:tc>
          <w:tcPr>
            <w:tcW w:w="985" w:type="dxa"/>
          </w:tcPr>
          <w:p>
            <w:pPr>
              <w:pStyle w:val="16"/>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权重</w:t>
            </w:r>
          </w:p>
        </w:tc>
        <w:tc>
          <w:tcPr>
            <w:tcW w:w="1000" w:type="dxa"/>
          </w:tcPr>
          <w:p>
            <w:pPr>
              <w:pStyle w:val="16"/>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分值</w:t>
            </w:r>
          </w:p>
        </w:tc>
        <w:tc>
          <w:tcPr>
            <w:tcW w:w="6541" w:type="dxa"/>
          </w:tcPr>
          <w:p>
            <w:pPr>
              <w:pStyle w:val="16"/>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评定细则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1" w:hRule="atLeast"/>
        </w:trPr>
        <w:tc>
          <w:tcPr>
            <w:tcW w:w="858" w:type="dxa"/>
            <w:vAlign w:val="center"/>
          </w:tcPr>
          <w:p>
            <w:pPr>
              <w:pStyle w:val="16"/>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1</w:t>
            </w:r>
          </w:p>
        </w:tc>
        <w:tc>
          <w:tcPr>
            <w:tcW w:w="985" w:type="dxa"/>
            <w:vAlign w:val="center"/>
          </w:tcPr>
          <w:p>
            <w:pPr>
              <w:pStyle w:val="16"/>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报价45%</w:t>
            </w:r>
          </w:p>
        </w:tc>
        <w:tc>
          <w:tcPr>
            <w:tcW w:w="1000" w:type="dxa"/>
            <w:vAlign w:val="center"/>
          </w:tcPr>
          <w:p>
            <w:pPr>
              <w:pStyle w:val="16"/>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45分</w:t>
            </w:r>
          </w:p>
        </w:tc>
        <w:tc>
          <w:tcPr>
            <w:tcW w:w="6541" w:type="dxa"/>
          </w:tcPr>
          <w:p>
            <w:pPr>
              <w:pStyle w:val="16"/>
              <w:pageBreakBefore w:val="0"/>
              <w:kinsoku/>
              <w:wordWrap/>
              <w:overflowPunct/>
              <w:topLinePunct w:val="0"/>
              <w:bidi w:val="0"/>
              <w:snapToGrid/>
              <w:spacing w:line="360" w:lineRule="auto"/>
              <w:ind w:right="0"/>
              <w:jc w:val="left"/>
              <w:textAlignment w:val="auto"/>
              <w:rPr>
                <w:rFonts w:hint="eastAsia"/>
                <w:sz w:val="24"/>
                <w:szCs w:val="24"/>
                <w:vertAlign w:val="baseline"/>
                <w:lang w:val="en-US" w:eastAsia="zh-CN"/>
              </w:rPr>
            </w:pPr>
            <w:r>
              <w:rPr>
                <w:rFonts w:hint="eastAsia"/>
                <w:sz w:val="24"/>
                <w:szCs w:val="24"/>
                <w:vertAlign w:val="baseline"/>
                <w:lang w:val="en-US" w:eastAsia="zh-CN"/>
              </w:rPr>
              <w:t xml:space="preserve">本次为统一折扣报价制，需求清单中的全部货物需报统一折扣。公式：投标报价得分=（基准折扣/投标人折扣）×45  </w:t>
            </w:r>
          </w:p>
          <w:p>
            <w:pPr>
              <w:pStyle w:val="16"/>
              <w:pageBreakBefore w:val="0"/>
              <w:kinsoku/>
              <w:wordWrap/>
              <w:overflowPunct/>
              <w:topLinePunct w:val="0"/>
              <w:bidi w:val="0"/>
              <w:snapToGrid/>
              <w:spacing w:line="360" w:lineRule="auto"/>
              <w:ind w:right="0"/>
              <w:jc w:val="left"/>
              <w:textAlignment w:val="auto"/>
              <w:rPr>
                <w:rFonts w:hint="default"/>
                <w:sz w:val="24"/>
                <w:szCs w:val="24"/>
                <w:vertAlign w:val="baseline"/>
                <w:lang w:val="en-US" w:eastAsia="zh-CN"/>
              </w:rPr>
            </w:pPr>
            <w:r>
              <w:rPr>
                <w:rFonts w:hint="eastAsia"/>
                <w:sz w:val="24"/>
                <w:szCs w:val="24"/>
                <w:vertAlign w:val="baseline"/>
                <w:lang w:val="en-US" w:eastAsia="zh-CN"/>
              </w:rPr>
              <w:t>（基准折扣为各投标人中最低折扣）。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3" w:hRule="atLeast"/>
        </w:trPr>
        <w:tc>
          <w:tcPr>
            <w:tcW w:w="858" w:type="dxa"/>
            <w:vMerge w:val="restart"/>
            <w:vAlign w:val="center"/>
          </w:tcPr>
          <w:p>
            <w:pPr>
              <w:pStyle w:val="16"/>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2</w:t>
            </w:r>
          </w:p>
        </w:tc>
        <w:tc>
          <w:tcPr>
            <w:tcW w:w="985" w:type="dxa"/>
            <w:vMerge w:val="restart"/>
            <w:vAlign w:val="center"/>
          </w:tcPr>
          <w:p>
            <w:pPr>
              <w:pStyle w:val="16"/>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服务保障方案40%</w:t>
            </w:r>
          </w:p>
        </w:tc>
        <w:tc>
          <w:tcPr>
            <w:tcW w:w="1000" w:type="dxa"/>
            <w:vMerge w:val="restart"/>
            <w:vAlign w:val="center"/>
          </w:tcPr>
          <w:p>
            <w:pPr>
              <w:pStyle w:val="16"/>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40分</w:t>
            </w:r>
          </w:p>
        </w:tc>
        <w:tc>
          <w:tcPr>
            <w:tcW w:w="6541" w:type="dxa"/>
          </w:tcPr>
          <w:p>
            <w:pPr>
              <w:pStyle w:val="16"/>
              <w:pageBreakBefore w:val="0"/>
              <w:numPr>
                <w:ilvl w:val="0"/>
                <w:numId w:val="0"/>
              </w:numPr>
              <w:kinsoku/>
              <w:wordWrap/>
              <w:overflowPunct/>
              <w:topLinePunct w:val="0"/>
              <w:bidi w:val="0"/>
              <w:snapToGrid/>
              <w:spacing w:line="360" w:lineRule="auto"/>
              <w:ind w:right="0" w:rightChars="0"/>
              <w:jc w:val="left"/>
              <w:textAlignment w:val="auto"/>
              <w:rPr>
                <w:rFonts w:hint="default"/>
                <w:sz w:val="24"/>
                <w:szCs w:val="24"/>
                <w:vertAlign w:val="baseline"/>
                <w:lang w:val="en-US" w:eastAsia="zh-CN"/>
              </w:rPr>
            </w:pPr>
            <w:r>
              <w:rPr>
                <w:rFonts w:hint="eastAsia"/>
                <w:b/>
                <w:bCs/>
                <w:sz w:val="24"/>
                <w:szCs w:val="24"/>
                <w:vertAlign w:val="baseline"/>
                <w:lang w:val="en-US" w:eastAsia="zh-CN"/>
              </w:rPr>
              <w:t>（15分）</w:t>
            </w:r>
            <w:r>
              <w:rPr>
                <w:rFonts w:hint="eastAsia"/>
                <w:sz w:val="24"/>
                <w:szCs w:val="24"/>
                <w:vertAlign w:val="baseline"/>
                <w:lang w:val="en-US" w:eastAsia="zh-CN"/>
              </w:rPr>
              <w:t>1.根据各供应商提供的</w:t>
            </w:r>
            <w:r>
              <w:rPr>
                <w:rFonts w:hint="eastAsia"/>
                <w:b/>
                <w:bCs/>
                <w:sz w:val="24"/>
                <w:szCs w:val="24"/>
                <w:vertAlign w:val="baseline"/>
                <w:lang w:val="en-US" w:eastAsia="zh-CN"/>
              </w:rPr>
              <w:t>服务方案</w:t>
            </w:r>
            <w:r>
              <w:rPr>
                <w:rFonts w:hint="eastAsia"/>
                <w:sz w:val="24"/>
                <w:szCs w:val="24"/>
                <w:vertAlign w:val="baseline"/>
                <w:lang w:val="en-US" w:eastAsia="zh-CN"/>
              </w:rPr>
              <w:t>情况进行评分，包括不限于：货源组织、工序安排、配送服务、项目质量控制、保障措施及确认收货方式等情况。提供的服务方案思路明确、方案详细、具体、可行性强的得15分，提供的项目服务方案思路较为明确、方案较为详细、具体的得10分，提供的项目服务方案思路不明确、方案不够详细具体得5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858" w:type="dxa"/>
            <w:vMerge w:val="continue"/>
            <w:vAlign w:val="center"/>
          </w:tcPr>
          <w:p>
            <w:pPr>
              <w:pStyle w:val="16"/>
              <w:pageBreakBefore w:val="0"/>
              <w:tabs>
                <w:tab w:val="left" w:pos="312"/>
              </w:tabs>
              <w:kinsoku/>
              <w:wordWrap/>
              <w:overflowPunct/>
              <w:topLinePunct w:val="0"/>
              <w:bidi w:val="0"/>
              <w:snapToGrid/>
              <w:spacing w:line="360" w:lineRule="auto"/>
              <w:ind w:right="0"/>
              <w:jc w:val="left"/>
              <w:textAlignment w:val="auto"/>
            </w:pPr>
          </w:p>
        </w:tc>
        <w:tc>
          <w:tcPr>
            <w:tcW w:w="985" w:type="dxa"/>
            <w:vMerge w:val="continue"/>
            <w:vAlign w:val="center"/>
          </w:tcPr>
          <w:p>
            <w:pPr>
              <w:pStyle w:val="16"/>
              <w:pageBreakBefore w:val="0"/>
              <w:tabs>
                <w:tab w:val="left" w:pos="312"/>
              </w:tabs>
              <w:kinsoku/>
              <w:wordWrap/>
              <w:overflowPunct/>
              <w:topLinePunct w:val="0"/>
              <w:bidi w:val="0"/>
              <w:snapToGrid/>
              <w:spacing w:line="360" w:lineRule="auto"/>
              <w:ind w:right="0"/>
              <w:jc w:val="left"/>
              <w:textAlignment w:val="auto"/>
            </w:pPr>
          </w:p>
        </w:tc>
        <w:tc>
          <w:tcPr>
            <w:tcW w:w="1000" w:type="dxa"/>
            <w:vMerge w:val="continue"/>
            <w:vAlign w:val="center"/>
          </w:tcPr>
          <w:p>
            <w:pPr>
              <w:pStyle w:val="16"/>
              <w:pageBreakBefore w:val="0"/>
              <w:tabs>
                <w:tab w:val="left" w:pos="312"/>
              </w:tabs>
              <w:kinsoku/>
              <w:wordWrap/>
              <w:overflowPunct/>
              <w:topLinePunct w:val="0"/>
              <w:bidi w:val="0"/>
              <w:snapToGrid/>
              <w:spacing w:line="360" w:lineRule="auto"/>
              <w:ind w:right="0"/>
              <w:jc w:val="left"/>
              <w:textAlignment w:val="auto"/>
            </w:pPr>
          </w:p>
        </w:tc>
        <w:tc>
          <w:tcPr>
            <w:tcW w:w="6541" w:type="dxa"/>
          </w:tcPr>
          <w:p>
            <w:pPr>
              <w:pStyle w:val="16"/>
              <w:pageBreakBefore w:val="0"/>
              <w:numPr>
                <w:ilvl w:val="0"/>
                <w:numId w:val="0"/>
              </w:numPr>
              <w:kinsoku/>
              <w:wordWrap/>
              <w:overflowPunct/>
              <w:topLinePunct w:val="0"/>
              <w:bidi w:val="0"/>
              <w:snapToGrid/>
              <w:spacing w:line="360" w:lineRule="auto"/>
              <w:ind w:right="0" w:rightChars="0"/>
              <w:jc w:val="left"/>
              <w:textAlignment w:val="auto"/>
              <w:rPr>
                <w:rFonts w:hint="eastAsia"/>
                <w:sz w:val="24"/>
                <w:szCs w:val="24"/>
                <w:vertAlign w:val="baseline"/>
                <w:lang w:val="en-US" w:eastAsia="zh-CN"/>
              </w:rPr>
            </w:pPr>
            <w:r>
              <w:rPr>
                <w:rFonts w:hint="eastAsia"/>
                <w:b/>
                <w:bCs/>
                <w:sz w:val="24"/>
                <w:szCs w:val="24"/>
                <w:vertAlign w:val="baseline"/>
                <w:lang w:val="en-US" w:eastAsia="zh-CN"/>
              </w:rPr>
              <w:t>（10分）</w:t>
            </w:r>
            <w:r>
              <w:rPr>
                <w:rFonts w:hint="eastAsia"/>
                <w:sz w:val="24"/>
                <w:szCs w:val="24"/>
                <w:vertAlign w:val="baseline"/>
                <w:lang w:val="en-US" w:eastAsia="zh-CN"/>
              </w:rPr>
              <w:t>2.根据各</w:t>
            </w:r>
            <w:r>
              <w:rPr>
                <w:rFonts w:hint="eastAsia"/>
                <w:b w:val="0"/>
                <w:bCs w:val="0"/>
                <w:sz w:val="24"/>
                <w:szCs w:val="24"/>
                <w:vertAlign w:val="baseline"/>
                <w:lang w:val="en-US" w:eastAsia="zh-CN"/>
              </w:rPr>
              <w:t>供应商提供的</w:t>
            </w:r>
            <w:r>
              <w:rPr>
                <w:rFonts w:hint="eastAsia"/>
                <w:b/>
                <w:bCs/>
                <w:sz w:val="24"/>
                <w:szCs w:val="24"/>
                <w:vertAlign w:val="baseline"/>
                <w:lang w:val="en-US" w:eastAsia="zh-CN"/>
              </w:rPr>
              <w:t>响应保障方案</w:t>
            </w:r>
            <w:r>
              <w:rPr>
                <w:rFonts w:hint="eastAsia"/>
                <w:sz w:val="24"/>
                <w:szCs w:val="24"/>
                <w:vertAlign w:val="baseline"/>
                <w:lang w:val="en-US" w:eastAsia="zh-CN"/>
              </w:rPr>
              <w:t>，横向对比各供应商的供货响应速度、交货期的保障性，最佳得10分，其余依次按照10%递减。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858" w:type="dxa"/>
            <w:vMerge w:val="continue"/>
            <w:vAlign w:val="center"/>
          </w:tcPr>
          <w:p>
            <w:pPr>
              <w:pStyle w:val="16"/>
              <w:pageBreakBefore w:val="0"/>
              <w:tabs>
                <w:tab w:val="left" w:pos="312"/>
              </w:tabs>
              <w:kinsoku/>
              <w:wordWrap/>
              <w:overflowPunct/>
              <w:topLinePunct w:val="0"/>
              <w:bidi w:val="0"/>
              <w:snapToGrid/>
              <w:spacing w:line="360" w:lineRule="auto"/>
              <w:ind w:right="0"/>
              <w:jc w:val="left"/>
              <w:textAlignment w:val="auto"/>
              <w:rPr>
                <w:rFonts w:hint="eastAsia"/>
                <w:sz w:val="24"/>
                <w:szCs w:val="24"/>
                <w:vertAlign w:val="baseline"/>
                <w:lang w:val="en-US" w:eastAsia="zh-CN"/>
              </w:rPr>
            </w:pPr>
          </w:p>
        </w:tc>
        <w:tc>
          <w:tcPr>
            <w:tcW w:w="985" w:type="dxa"/>
            <w:vMerge w:val="continue"/>
            <w:vAlign w:val="center"/>
          </w:tcPr>
          <w:p>
            <w:pPr>
              <w:pStyle w:val="16"/>
              <w:pageBreakBefore w:val="0"/>
              <w:tabs>
                <w:tab w:val="left" w:pos="312"/>
              </w:tabs>
              <w:kinsoku/>
              <w:wordWrap/>
              <w:overflowPunct/>
              <w:topLinePunct w:val="0"/>
              <w:bidi w:val="0"/>
              <w:snapToGrid/>
              <w:spacing w:line="360" w:lineRule="auto"/>
              <w:ind w:right="0"/>
              <w:jc w:val="left"/>
              <w:textAlignment w:val="auto"/>
              <w:rPr>
                <w:rFonts w:hint="eastAsia"/>
                <w:sz w:val="24"/>
                <w:szCs w:val="24"/>
                <w:vertAlign w:val="baseline"/>
                <w:lang w:val="en-US" w:eastAsia="zh-CN"/>
              </w:rPr>
            </w:pPr>
          </w:p>
        </w:tc>
        <w:tc>
          <w:tcPr>
            <w:tcW w:w="1000" w:type="dxa"/>
            <w:vMerge w:val="continue"/>
            <w:vAlign w:val="center"/>
          </w:tcPr>
          <w:p>
            <w:pPr>
              <w:pStyle w:val="16"/>
              <w:pageBreakBefore w:val="0"/>
              <w:tabs>
                <w:tab w:val="left" w:pos="312"/>
              </w:tabs>
              <w:kinsoku/>
              <w:wordWrap/>
              <w:overflowPunct/>
              <w:topLinePunct w:val="0"/>
              <w:bidi w:val="0"/>
              <w:snapToGrid/>
              <w:spacing w:line="360" w:lineRule="auto"/>
              <w:ind w:right="0"/>
              <w:jc w:val="left"/>
              <w:textAlignment w:val="auto"/>
              <w:rPr>
                <w:rFonts w:hint="eastAsia"/>
                <w:sz w:val="24"/>
                <w:szCs w:val="24"/>
                <w:vertAlign w:val="baseline"/>
                <w:lang w:val="en-US" w:eastAsia="zh-CN"/>
              </w:rPr>
            </w:pPr>
          </w:p>
        </w:tc>
        <w:tc>
          <w:tcPr>
            <w:tcW w:w="6541" w:type="dxa"/>
          </w:tcPr>
          <w:p>
            <w:pPr>
              <w:pStyle w:val="16"/>
              <w:pageBreakBefore w:val="0"/>
              <w:numPr>
                <w:ilvl w:val="0"/>
                <w:numId w:val="0"/>
              </w:numPr>
              <w:kinsoku/>
              <w:wordWrap/>
              <w:overflowPunct/>
              <w:topLinePunct w:val="0"/>
              <w:bidi w:val="0"/>
              <w:snapToGrid/>
              <w:spacing w:line="360" w:lineRule="auto"/>
              <w:ind w:leftChars="0" w:right="0" w:rightChars="0"/>
              <w:jc w:val="left"/>
              <w:textAlignment w:val="auto"/>
              <w:rPr>
                <w:rFonts w:hint="eastAsia"/>
                <w:sz w:val="24"/>
                <w:szCs w:val="24"/>
                <w:vertAlign w:val="baseline"/>
                <w:lang w:val="en-US" w:eastAsia="zh-CN"/>
              </w:rPr>
            </w:pPr>
            <w:r>
              <w:rPr>
                <w:rFonts w:hint="eastAsia"/>
                <w:b/>
                <w:bCs/>
                <w:sz w:val="24"/>
                <w:szCs w:val="24"/>
                <w:vertAlign w:val="baseline"/>
                <w:lang w:val="en-US" w:eastAsia="zh-CN"/>
              </w:rPr>
              <w:t>（5分）</w:t>
            </w:r>
            <w:r>
              <w:rPr>
                <w:rFonts w:hint="eastAsia"/>
                <w:sz w:val="24"/>
                <w:szCs w:val="24"/>
                <w:vertAlign w:val="baseline"/>
                <w:lang w:val="en-US" w:eastAsia="zh-CN"/>
              </w:rPr>
              <w:t>3.提供</w:t>
            </w:r>
            <w:r>
              <w:rPr>
                <w:rFonts w:hint="eastAsia"/>
                <w:b/>
                <w:bCs/>
                <w:sz w:val="24"/>
                <w:szCs w:val="24"/>
                <w:vertAlign w:val="baseline"/>
                <w:lang w:val="en-US" w:eastAsia="zh-CN"/>
              </w:rPr>
              <w:t>产品质量保障承诺书</w:t>
            </w:r>
            <w:r>
              <w:rPr>
                <w:rFonts w:hint="eastAsia"/>
                <w:sz w:val="24"/>
                <w:szCs w:val="24"/>
                <w:vertAlign w:val="baseline"/>
                <w:lang w:val="en-US" w:eastAsia="zh-CN"/>
              </w:rPr>
              <w:t>的得5分，未提供的不得分。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858" w:type="dxa"/>
            <w:vMerge w:val="continue"/>
            <w:vAlign w:val="center"/>
          </w:tcPr>
          <w:p>
            <w:pPr>
              <w:pStyle w:val="16"/>
              <w:pageBreakBefore w:val="0"/>
              <w:tabs>
                <w:tab w:val="left" w:pos="312"/>
              </w:tabs>
              <w:kinsoku/>
              <w:wordWrap/>
              <w:overflowPunct/>
              <w:topLinePunct w:val="0"/>
              <w:bidi w:val="0"/>
              <w:snapToGrid/>
              <w:spacing w:line="360" w:lineRule="auto"/>
              <w:ind w:right="0"/>
              <w:jc w:val="left"/>
              <w:textAlignment w:val="auto"/>
              <w:rPr>
                <w:rFonts w:hint="eastAsia"/>
                <w:sz w:val="24"/>
                <w:szCs w:val="24"/>
                <w:vertAlign w:val="baseline"/>
                <w:lang w:val="en-US" w:eastAsia="zh-CN"/>
              </w:rPr>
            </w:pPr>
          </w:p>
        </w:tc>
        <w:tc>
          <w:tcPr>
            <w:tcW w:w="985" w:type="dxa"/>
            <w:vMerge w:val="continue"/>
            <w:vAlign w:val="center"/>
          </w:tcPr>
          <w:p>
            <w:pPr>
              <w:pStyle w:val="16"/>
              <w:pageBreakBefore w:val="0"/>
              <w:tabs>
                <w:tab w:val="left" w:pos="312"/>
              </w:tabs>
              <w:kinsoku/>
              <w:wordWrap/>
              <w:overflowPunct/>
              <w:topLinePunct w:val="0"/>
              <w:bidi w:val="0"/>
              <w:snapToGrid/>
              <w:spacing w:line="360" w:lineRule="auto"/>
              <w:ind w:right="0"/>
              <w:jc w:val="left"/>
              <w:textAlignment w:val="auto"/>
              <w:rPr>
                <w:rFonts w:hint="eastAsia"/>
                <w:sz w:val="24"/>
                <w:szCs w:val="24"/>
                <w:vertAlign w:val="baseline"/>
                <w:lang w:val="en-US" w:eastAsia="zh-CN"/>
              </w:rPr>
            </w:pPr>
          </w:p>
        </w:tc>
        <w:tc>
          <w:tcPr>
            <w:tcW w:w="1000" w:type="dxa"/>
            <w:vMerge w:val="continue"/>
            <w:vAlign w:val="center"/>
          </w:tcPr>
          <w:p>
            <w:pPr>
              <w:pStyle w:val="16"/>
              <w:pageBreakBefore w:val="0"/>
              <w:tabs>
                <w:tab w:val="left" w:pos="312"/>
              </w:tabs>
              <w:kinsoku/>
              <w:wordWrap/>
              <w:overflowPunct/>
              <w:topLinePunct w:val="0"/>
              <w:bidi w:val="0"/>
              <w:snapToGrid/>
              <w:spacing w:line="360" w:lineRule="auto"/>
              <w:ind w:right="0"/>
              <w:jc w:val="left"/>
              <w:textAlignment w:val="auto"/>
              <w:rPr>
                <w:rFonts w:hint="eastAsia"/>
                <w:sz w:val="24"/>
                <w:szCs w:val="24"/>
                <w:vertAlign w:val="baseline"/>
                <w:lang w:val="en-US" w:eastAsia="zh-CN"/>
              </w:rPr>
            </w:pPr>
          </w:p>
        </w:tc>
        <w:tc>
          <w:tcPr>
            <w:tcW w:w="6541" w:type="dxa"/>
          </w:tcPr>
          <w:p>
            <w:pPr>
              <w:pStyle w:val="16"/>
              <w:pageBreakBefore w:val="0"/>
              <w:numPr>
                <w:ilvl w:val="0"/>
                <w:numId w:val="0"/>
              </w:numPr>
              <w:kinsoku/>
              <w:wordWrap/>
              <w:overflowPunct/>
              <w:topLinePunct w:val="0"/>
              <w:bidi w:val="0"/>
              <w:snapToGrid/>
              <w:spacing w:line="360" w:lineRule="auto"/>
              <w:ind w:right="0" w:rightChars="0"/>
              <w:jc w:val="left"/>
              <w:textAlignment w:val="auto"/>
              <w:rPr>
                <w:rFonts w:hint="default"/>
                <w:sz w:val="24"/>
                <w:szCs w:val="24"/>
                <w:vertAlign w:val="baseline"/>
                <w:lang w:val="en-US" w:eastAsia="zh-CN"/>
              </w:rPr>
            </w:pPr>
            <w:r>
              <w:rPr>
                <w:rFonts w:hint="eastAsia"/>
                <w:b/>
                <w:bCs/>
                <w:sz w:val="24"/>
                <w:szCs w:val="24"/>
                <w:vertAlign w:val="baseline"/>
                <w:lang w:val="en-US" w:eastAsia="zh-CN"/>
              </w:rPr>
              <w:t>（10分）</w:t>
            </w:r>
            <w:r>
              <w:rPr>
                <w:rFonts w:hint="eastAsia"/>
                <w:sz w:val="24"/>
                <w:szCs w:val="24"/>
                <w:vertAlign w:val="baseline"/>
                <w:lang w:val="en-US" w:eastAsia="zh-CN"/>
              </w:rPr>
              <w:t>4.提供</w:t>
            </w:r>
            <w:r>
              <w:rPr>
                <w:rFonts w:hint="eastAsia"/>
                <w:b/>
                <w:bCs/>
                <w:sz w:val="24"/>
                <w:szCs w:val="24"/>
                <w:vertAlign w:val="baseline"/>
                <w:lang w:val="en-US" w:eastAsia="zh-CN"/>
              </w:rPr>
              <w:t>退换货方案</w:t>
            </w:r>
            <w:r>
              <w:rPr>
                <w:rFonts w:hint="eastAsia"/>
                <w:sz w:val="24"/>
                <w:szCs w:val="24"/>
                <w:vertAlign w:val="baseline"/>
                <w:lang w:val="en-US" w:eastAsia="zh-CN"/>
              </w:rPr>
              <w:t>详细完整、可操作性强、有针对性的得10分,提供退换货方案基本完整、可操作性一般得得6分,提供的退货货方案不完整、可操作性较差得3分,未提供的不得分。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 w:hRule="atLeast"/>
        </w:trPr>
        <w:tc>
          <w:tcPr>
            <w:tcW w:w="858" w:type="dxa"/>
            <w:vAlign w:val="center"/>
          </w:tcPr>
          <w:p>
            <w:pPr>
              <w:pStyle w:val="16"/>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4</w:t>
            </w:r>
          </w:p>
        </w:tc>
        <w:tc>
          <w:tcPr>
            <w:tcW w:w="985" w:type="dxa"/>
            <w:vAlign w:val="center"/>
          </w:tcPr>
          <w:p>
            <w:pPr>
              <w:pStyle w:val="16"/>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业绩评价10%</w:t>
            </w:r>
          </w:p>
        </w:tc>
        <w:tc>
          <w:tcPr>
            <w:tcW w:w="1000" w:type="dxa"/>
            <w:vAlign w:val="center"/>
          </w:tcPr>
          <w:p>
            <w:pPr>
              <w:pStyle w:val="16"/>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10分</w:t>
            </w:r>
          </w:p>
        </w:tc>
        <w:tc>
          <w:tcPr>
            <w:tcW w:w="6541" w:type="dxa"/>
          </w:tcPr>
          <w:p>
            <w:pPr>
              <w:pStyle w:val="16"/>
              <w:pageBreakBefore w:val="0"/>
              <w:kinsoku/>
              <w:wordWrap/>
              <w:overflowPunct/>
              <w:topLinePunct w:val="0"/>
              <w:bidi w:val="0"/>
              <w:snapToGrid/>
              <w:spacing w:line="360" w:lineRule="auto"/>
              <w:ind w:right="0"/>
              <w:jc w:val="left"/>
              <w:textAlignment w:val="auto"/>
              <w:rPr>
                <w:rFonts w:hint="default"/>
                <w:sz w:val="24"/>
                <w:szCs w:val="24"/>
                <w:vertAlign w:val="baseline"/>
                <w:lang w:val="en-US" w:eastAsia="zh-CN"/>
              </w:rPr>
            </w:pPr>
            <w:r>
              <w:rPr>
                <w:rFonts w:hint="eastAsia"/>
                <w:sz w:val="24"/>
                <w:szCs w:val="24"/>
                <w:vertAlign w:val="baseline"/>
                <w:lang w:val="en-US" w:eastAsia="zh-CN"/>
              </w:rPr>
              <w:t>自2021年至今与党政机关、事业单位、国有企业有服务保障关系每1个得2分，最多得10分（提供服务供货合同或中标凭证复印件）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vAlign w:val="center"/>
          </w:tcPr>
          <w:p>
            <w:pPr>
              <w:pStyle w:val="16"/>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5</w:t>
            </w:r>
          </w:p>
        </w:tc>
        <w:tc>
          <w:tcPr>
            <w:tcW w:w="985" w:type="dxa"/>
            <w:vAlign w:val="center"/>
          </w:tcPr>
          <w:p>
            <w:pPr>
              <w:pStyle w:val="16"/>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标书规范性5%</w:t>
            </w:r>
          </w:p>
        </w:tc>
        <w:tc>
          <w:tcPr>
            <w:tcW w:w="1000" w:type="dxa"/>
            <w:vAlign w:val="center"/>
          </w:tcPr>
          <w:p>
            <w:pPr>
              <w:pStyle w:val="16"/>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5分</w:t>
            </w:r>
          </w:p>
        </w:tc>
        <w:tc>
          <w:tcPr>
            <w:tcW w:w="6541" w:type="dxa"/>
          </w:tcPr>
          <w:p>
            <w:pPr>
              <w:pStyle w:val="16"/>
              <w:pageBreakBefore w:val="0"/>
              <w:kinsoku/>
              <w:wordWrap/>
              <w:overflowPunct/>
              <w:topLinePunct w:val="0"/>
              <w:bidi w:val="0"/>
              <w:snapToGrid/>
              <w:spacing w:line="360" w:lineRule="auto"/>
              <w:ind w:right="0"/>
              <w:jc w:val="left"/>
              <w:textAlignment w:val="auto"/>
              <w:rPr>
                <w:rFonts w:hint="default"/>
                <w:sz w:val="24"/>
                <w:szCs w:val="24"/>
                <w:vertAlign w:val="baseline"/>
                <w:lang w:val="en-US" w:eastAsia="zh-CN"/>
              </w:rPr>
            </w:pPr>
            <w:r>
              <w:rPr>
                <w:rFonts w:hint="eastAsia"/>
                <w:sz w:val="24"/>
                <w:szCs w:val="24"/>
                <w:vertAlign w:val="baseline"/>
                <w:lang w:val="en-US" w:eastAsia="zh-CN"/>
              </w:rPr>
              <w:t>响应文件制作规范，对招标文件响应全面，格式规范，内容整齐得5分；每有一项为</w:t>
            </w:r>
            <w:r>
              <w:rPr>
                <w:rFonts w:hint="default"/>
                <w:sz w:val="24"/>
                <w:szCs w:val="24"/>
                <w:vertAlign w:val="baseline"/>
                <w:lang w:val="en-US" w:eastAsia="zh-CN"/>
              </w:rPr>
              <w:t>负偏离的扣</w:t>
            </w:r>
            <w:r>
              <w:rPr>
                <w:rFonts w:hint="eastAsia"/>
                <w:sz w:val="24"/>
                <w:szCs w:val="24"/>
                <w:vertAlign w:val="baseline"/>
                <w:lang w:val="en-US" w:eastAsia="zh-CN"/>
              </w:rPr>
              <w:t>1</w:t>
            </w:r>
            <w:r>
              <w:rPr>
                <w:rFonts w:hint="default"/>
                <w:sz w:val="24"/>
                <w:szCs w:val="24"/>
                <w:vertAlign w:val="baseline"/>
                <w:lang w:val="en-US" w:eastAsia="zh-CN"/>
              </w:rPr>
              <w:t>分</w:t>
            </w:r>
            <w:r>
              <w:rPr>
                <w:rFonts w:hint="eastAsia"/>
                <w:sz w:val="24"/>
                <w:szCs w:val="24"/>
                <w:vertAlign w:val="baseline"/>
                <w:lang w:val="en-US" w:eastAsia="zh-CN"/>
              </w:rPr>
              <w:t>，直到扣完本项分值为止。</w:t>
            </w:r>
          </w:p>
        </w:tc>
      </w:tr>
    </w:tbl>
    <w:p>
      <w:pPr>
        <w:pStyle w:val="16"/>
        <w:pageBreakBefore w:val="0"/>
        <w:kinsoku/>
        <w:wordWrap/>
        <w:overflowPunct/>
        <w:topLinePunct w:val="0"/>
        <w:bidi w:val="0"/>
        <w:snapToGrid/>
        <w:spacing w:line="360" w:lineRule="auto"/>
        <w:ind w:right="0"/>
        <w:textAlignment w:val="auto"/>
        <w:rPr>
          <w:rFonts w:hint="default"/>
          <w:lang w:val="en-US" w:eastAsia="zh-CN"/>
        </w:rPr>
      </w:pPr>
    </w:p>
    <w:sectPr>
      <w:footerReference r:id="rId4"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C3F55B4F"/>
    <w:multiLevelType w:val="singleLevel"/>
    <w:tmpl w:val="C3F55B4F"/>
    <w:lvl w:ilvl="0" w:tentative="0">
      <w:start w:val="2"/>
      <w:numFmt w:val="chineseCounting"/>
      <w:suff w:val="nothing"/>
      <w:lvlText w:val="%1、"/>
      <w:lvlJc w:val="left"/>
      <w:rPr>
        <w:rFonts w:hint="eastAsia"/>
      </w:rPr>
    </w:lvl>
  </w:abstractNum>
  <w:abstractNum w:abstractNumId="2">
    <w:nsid w:val="E9064679"/>
    <w:multiLevelType w:val="singleLevel"/>
    <w:tmpl w:val="E9064679"/>
    <w:lvl w:ilvl="0" w:tentative="0">
      <w:start w:val="6"/>
      <w:numFmt w:val="chineseCounting"/>
      <w:suff w:val="nothing"/>
      <w:lvlText w:val="%1、"/>
      <w:lvlJc w:val="left"/>
      <w:rPr>
        <w:rFonts w:hint="eastAsia"/>
      </w:rPr>
    </w:lvl>
  </w:abstractNum>
  <w:abstractNum w:abstractNumId="3">
    <w:nsid w:val="FCC4DAE8"/>
    <w:multiLevelType w:val="singleLevel"/>
    <w:tmpl w:val="FCC4DAE8"/>
    <w:lvl w:ilvl="0" w:tentative="0">
      <w:start w:val="1"/>
      <w:numFmt w:val="decimal"/>
      <w:suff w:val="nothing"/>
      <w:lvlText w:val="%1、"/>
      <w:lvlJc w:val="left"/>
    </w:lvl>
  </w:abstractNum>
  <w:abstractNum w:abstractNumId="4">
    <w:nsid w:val="3D43E828"/>
    <w:multiLevelType w:val="singleLevel"/>
    <w:tmpl w:val="3D43E828"/>
    <w:lvl w:ilvl="0" w:tentative="0">
      <w:start w:val="1"/>
      <w:numFmt w:val="chineseCounting"/>
      <w:suff w:val="nothing"/>
      <w:lvlText w:val="%1、"/>
      <w:lvlJc w:val="left"/>
      <w:rPr>
        <w:rFonts w:hint="eastAsia"/>
      </w:r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1ODE4ZmE4NzVlM2UwNDI5NDEzMjYzMmJjMzg0MWQifQ=="/>
  </w:docVars>
  <w:rsids>
    <w:rsidRoot w:val="5AA03969"/>
    <w:rsid w:val="008B5614"/>
    <w:rsid w:val="01A85D51"/>
    <w:rsid w:val="024C2B81"/>
    <w:rsid w:val="02E778E9"/>
    <w:rsid w:val="02E77B5B"/>
    <w:rsid w:val="034328FD"/>
    <w:rsid w:val="04114082"/>
    <w:rsid w:val="041B0FFD"/>
    <w:rsid w:val="04D23811"/>
    <w:rsid w:val="04FE4606"/>
    <w:rsid w:val="05834B0B"/>
    <w:rsid w:val="060914B4"/>
    <w:rsid w:val="064249C6"/>
    <w:rsid w:val="06C61153"/>
    <w:rsid w:val="06C83DB7"/>
    <w:rsid w:val="06E65352"/>
    <w:rsid w:val="07863F7E"/>
    <w:rsid w:val="07F27D26"/>
    <w:rsid w:val="080D4B60"/>
    <w:rsid w:val="08CA6B0B"/>
    <w:rsid w:val="08D77648"/>
    <w:rsid w:val="09C94AB7"/>
    <w:rsid w:val="09F031F5"/>
    <w:rsid w:val="0A28469A"/>
    <w:rsid w:val="0C14470F"/>
    <w:rsid w:val="0C3721AC"/>
    <w:rsid w:val="0C8F4281"/>
    <w:rsid w:val="0CC47EE3"/>
    <w:rsid w:val="0DDB79E9"/>
    <w:rsid w:val="0E3D5232"/>
    <w:rsid w:val="0EE534A8"/>
    <w:rsid w:val="1068327B"/>
    <w:rsid w:val="11821B85"/>
    <w:rsid w:val="11A46B34"/>
    <w:rsid w:val="11DD55A3"/>
    <w:rsid w:val="126857B5"/>
    <w:rsid w:val="13346873"/>
    <w:rsid w:val="13A50343"/>
    <w:rsid w:val="14467430"/>
    <w:rsid w:val="1494463F"/>
    <w:rsid w:val="14E11F4E"/>
    <w:rsid w:val="158A3C94"/>
    <w:rsid w:val="15C70A44"/>
    <w:rsid w:val="165027E8"/>
    <w:rsid w:val="171C4DC0"/>
    <w:rsid w:val="179B7A92"/>
    <w:rsid w:val="18581E27"/>
    <w:rsid w:val="188C6B54"/>
    <w:rsid w:val="19906125"/>
    <w:rsid w:val="1B0F0EC3"/>
    <w:rsid w:val="1BA81CD5"/>
    <w:rsid w:val="1C406E5A"/>
    <w:rsid w:val="1C4E1577"/>
    <w:rsid w:val="1CE26164"/>
    <w:rsid w:val="1FBF278C"/>
    <w:rsid w:val="20491BD3"/>
    <w:rsid w:val="209E53C0"/>
    <w:rsid w:val="20E97AC1"/>
    <w:rsid w:val="2302130E"/>
    <w:rsid w:val="23D507D0"/>
    <w:rsid w:val="24634055"/>
    <w:rsid w:val="24A361D8"/>
    <w:rsid w:val="25270BB7"/>
    <w:rsid w:val="26976211"/>
    <w:rsid w:val="275A1718"/>
    <w:rsid w:val="28B766F6"/>
    <w:rsid w:val="293924AC"/>
    <w:rsid w:val="294C32E2"/>
    <w:rsid w:val="2996455E"/>
    <w:rsid w:val="2A7674A9"/>
    <w:rsid w:val="2AE5579D"/>
    <w:rsid w:val="2B396801"/>
    <w:rsid w:val="2BD001FB"/>
    <w:rsid w:val="2C387B4E"/>
    <w:rsid w:val="2DA76D39"/>
    <w:rsid w:val="2E586286"/>
    <w:rsid w:val="2FF70757"/>
    <w:rsid w:val="302A3C11"/>
    <w:rsid w:val="30DD2A72"/>
    <w:rsid w:val="32222E32"/>
    <w:rsid w:val="32877139"/>
    <w:rsid w:val="33FC5905"/>
    <w:rsid w:val="34177AA3"/>
    <w:rsid w:val="348222AE"/>
    <w:rsid w:val="3656754F"/>
    <w:rsid w:val="36625E4D"/>
    <w:rsid w:val="373F6235"/>
    <w:rsid w:val="37CE75B8"/>
    <w:rsid w:val="385775AE"/>
    <w:rsid w:val="38CD2F70"/>
    <w:rsid w:val="39783C80"/>
    <w:rsid w:val="399F47EB"/>
    <w:rsid w:val="3A465D12"/>
    <w:rsid w:val="3AAA7E69"/>
    <w:rsid w:val="3B602C1D"/>
    <w:rsid w:val="3BBA232E"/>
    <w:rsid w:val="3BE62A0B"/>
    <w:rsid w:val="3C622025"/>
    <w:rsid w:val="3C675F24"/>
    <w:rsid w:val="3DB86D41"/>
    <w:rsid w:val="3DC70D32"/>
    <w:rsid w:val="3DF153E8"/>
    <w:rsid w:val="3EB8694E"/>
    <w:rsid w:val="3EDC6A5F"/>
    <w:rsid w:val="3F1A7731"/>
    <w:rsid w:val="3F582F1D"/>
    <w:rsid w:val="40271F5C"/>
    <w:rsid w:val="40DB7D0B"/>
    <w:rsid w:val="41B17D2F"/>
    <w:rsid w:val="41EF0857"/>
    <w:rsid w:val="42120F96"/>
    <w:rsid w:val="43754D8C"/>
    <w:rsid w:val="438C2802"/>
    <w:rsid w:val="43A7340B"/>
    <w:rsid w:val="44542A4F"/>
    <w:rsid w:val="4509674E"/>
    <w:rsid w:val="45880D56"/>
    <w:rsid w:val="4605689B"/>
    <w:rsid w:val="46A165C4"/>
    <w:rsid w:val="472965B9"/>
    <w:rsid w:val="4851401A"/>
    <w:rsid w:val="48AB4408"/>
    <w:rsid w:val="493F377B"/>
    <w:rsid w:val="49412B6F"/>
    <w:rsid w:val="498521CD"/>
    <w:rsid w:val="498B5309"/>
    <w:rsid w:val="49D40A5E"/>
    <w:rsid w:val="4AE90539"/>
    <w:rsid w:val="4AFD3FE5"/>
    <w:rsid w:val="4B1A0571"/>
    <w:rsid w:val="4BD016F9"/>
    <w:rsid w:val="4BFC429C"/>
    <w:rsid w:val="4C6D6532"/>
    <w:rsid w:val="4CDB717E"/>
    <w:rsid w:val="4D386CC3"/>
    <w:rsid w:val="4DA11101"/>
    <w:rsid w:val="4DBA713F"/>
    <w:rsid w:val="4F2064F4"/>
    <w:rsid w:val="50414974"/>
    <w:rsid w:val="507567E5"/>
    <w:rsid w:val="514B3CFC"/>
    <w:rsid w:val="51DC4954"/>
    <w:rsid w:val="52FA0263"/>
    <w:rsid w:val="5354676C"/>
    <w:rsid w:val="54EF2BF0"/>
    <w:rsid w:val="55284354"/>
    <w:rsid w:val="554503C7"/>
    <w:rsid w:val="55B160F8"/>
    <w:rsid w:val="56223667"/>
    <w:rsid w:val="576F41DA"/>
    <w:rsid w:val="582A2734"/>
    <w:rsid w:val="585D4315"/>
    <w:rsid w:val="58C85C32"/>
    <w:rsid w:val="58F75412"/>
    <w:rsid w:val="594554D5"/>
    <w:rsid w:val="59F05F06"/>
    <w:rsid w:val="5A9B008A"/>
    <w:rsid w:val="5AA03969"/>
    <w:rsid w:val="5B3A6B8F"/>
    <w:rsid w:val="5B826DF6"/>
    <w:rsid w:val="5BD46DB5"/>
    <w:rsid w:val="5D752101"/>
    <w:rsid w:val="5D8440F2"/>
    <w:rsid w:val="5E6463FD"/>
    <w:rsid w:val="5F294F51"/>
    <w:rsid w:val="606721D5"/>
    <w:rsid w:val="63247F12"/>
    <w:rsid w:val="63F073B0"/>
    <w:rsid w:val="642D6A26"/>
    <w:rsid w:val="64AB39B7"/>
    <w:rsid w:val="64B27796"/>
    <w:rsid w:val="64C5396E"/>
    <w:rsid w:val="64F46001"/>
    <w:rsid w:val="66082D77"/>
    <w:rsid w:val="660A5ADC"/>
    <w:rsid w:val="671D3A39"/>
    <w:rsid w:val="69146C72"/>
    <w:rsid w:val="699927CA"/>
    <w:rsid w:val="69D72179"/>
    <w:rsid w:val="6ACF2E50"/>
    <w:rsid w:val="6B3310AC"/>
    <w:rsid w:val="6C740721"/>
    <w:rsid w:val="6CAD71C1"/>
    <w:rsid w:val="6DCF3167"/>
    <w:rsid w:val="6E7066F8"/>
    <w:rsid w:val="6FE253D4"/>
    <w:rsid w:val="702E774D"/>
    <w:rsid w:val="709D579F"/>
    <w:rsid w:val="70A73F27"/>
    <w:rsid w:val="70C64CF5"/>
    <w:rsid w:val="715D7CCF"/>
    <w:rsid w:val="717C6E02"/>
    <w:rsid w:val="71995F66"/>
    <w:rsid w:val="720F447A"/>
    <w:rsid w:val="727D3192"/>
    <w:rsid w:val="72B15F7D"/>
    <w:rsid w:val="731E2BC7"/>
    <w:rsid w:val="7349576A"/>
    <w:rsid w:val="73966C01"/>
    <w:rsid w:val="73C6500C"/>
    <w:rsid w:val="74424693"/>
    <w:rsid w:val="769B62DC"/>
    <w:rsid w:val="76EA7C18"/>
    <w:rsid w:val="773D55E5"/>
    <w:rsid w:val="77D83D59"/>
    <w:rsid w:val="77FA5285"/>
    <w:rsid w:val="78267E28"/>
    <w:rsid w:val="785B21C7"/>
    <w:rsid w:val="792A1B99"/>
    <w:rsid w:val="792B7DEB"/>
    <w:rsid w:val="79C93160"/>
    <w:rsid w:val="7A41719B"/>
    <w:rsid w:val="7A5769BE"/>
    <w:rsid w:val="7CB225D2"/>
    <w:rsid w:val="7D2C5EE0"/>
    <w:rsid w:val="7E165F10"/>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30"/>
      <w:szCs w:val="30"/>
      <w:lang w:val="zh-CN" w:eastAsia="zh-CN" w:bidi="zh-C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0"/>
    <w:rPr>
      <w:i/>
    </w:rPr>
  </w:style>
  <w:style w:type="character" w:styleId="15">
    <w:name w:val="Hyperlink"/>
    <w:basedOn w:val="13"/>
    <w:qFormat/>
    <w:uiPriority w:val="0"/>
    <w:rPr>
      <w:color w:val="0000FF"/>
      <w:u w:val="single"/>
    </w:rPr>
  </w:style>
  <w:style w:type="paragraph" w:customStyle="1" w:styleId="1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7">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8">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2851</Words>
  <Characters>3002</Characters>
  <Lines>0</Lines>
  <Paragraphs>0</Paragraphs>
  <TotalTime>1016</TotalTime>
  <ScaleCrop>false</ScaleCrop>
  <LinksUpToDate>false</LinksUpToDate>
  <CharactersWithSpaces>4041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风雨同行</cp:lastModifiedBy>
  <cp:lastPrinted>2023-12-12T01:46:27Z</cp:lastPrinted>
  <dcterms:modified xsi:type="dcterms:W3CDTF">2023-12-12T02:19:28Z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F403DD827AAB4E9E936DA6133D7F5DED_13</vt:lpwstr>
  </property>
</Properties>
</file>